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12513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97788A">
        <w:rPr>
          <w:b/>
          <w:bCs/>
        </w:rPr>
        <w:t>вы</w:t>
      </w:r>
      <w:r>
        <w:rPr>
          <w:b/>
          <w:bCs/>
        </w:rPr>
        <w:t>бору организации, осуществляющей</w:t>
      </w:r>
      <w:r w:rsidRPr="00E749D0">
        <w:rPr>
          <w:b/>
          <w:bCs/>
        </w:rPr>
        <w:t xml:space="preserve"> </w:t>
      </w:r>
    </w:p>
    <w:p w:rsidR="00672341" w:rsidRDefault="00672341" w:rsidP="00672341">
      <w:pPr>
        <w:spacing w:after="0" w:line="240" w:lineRule="auto"/>
        <w:jc w:val="center"/>
        <w:rPr>
          <w:b/>
          <w:bCs/>
          <w:szCs w:val="24"/>
        </w:rPr>
      </w:pPr>
      <w:r w:rsidRPr="003E7369">
        <w:rPr>
          <w:b/>
          <w:bCs/>
          <w:szCs w:val="24"/>
        </w:rPr>
        <w:t>поставку и внедрение Системы принятия кредитного решения</w:t>
      </w:r>
      <w:r>
        <w:rPr>
          <w:b/>
          <w:bCs/>
          <w:szCs w:val="24"/>
        </w:rPr>
        <w:t xml:space="preserve"> </w:t>
      </w:r>
    </w:p>
    <w:p w:rsidR="00672341" w:rsidRPr="00DB5B4F" w:rsidRDefault="00672341" w:rsidP="0067234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для ПАО «МТС-Банк»</w:t>
      </w:r>
    </w:p>
    <w:p w:rsidR="00047AF2" w:rsidRPr="00F5501B" w:rsidRDefault="00047AF2" w:rsidP="00F771D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1A4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1A4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0601A4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0601A4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0601A4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3" w:history="1">
        <w:r w:rsidR="00047AF2" w:rsidRPr="00E61DF3">
          <w:t>10.Образцы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4" w:history="1">
        <w:r w:rsidR="00047AF2" w:rsidRPr="00E61DF3">
          <w:t>10.1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5" w:history="1">
        <w:r w:rsidR="00047AF2" w:rsidRPr="00E61DF3">
          <w:t>10.2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0601A4" w:rsidP="00526C7C">
      <w:pPr>
        <w:pStyle w:val="23"/>
      </w:pPr>
      <w:hyperlink w:anchor="_Toc251847636" w:history="1">
        <w:r w:rsidR="00047AF2" w:rsidRPr="00E61DF3">
          <w:t>10.3</w:t>
        </w:r>
        <w:r w:rsidR="00047AF2">
          <w:tab/>
        </w:r>
        <w:r w:rsidR="00047AF2" w:rsidRPr="00E61DF3">
          <w:t>Протокол разногласий по проекту Договора (Форма №3)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_Toc251847636 \h </w:instrText>
        </w:r>
        <w:r w:rsidR="00047AF2">
          <w:rPr>
            <w:webHidden/>
          </w:rPr>
          <w:fldChar w:fldCharType="separate"/>
        </w:r>
        <w:r>
          <w:rPr>
            <w:b w:val="0"/>
            <w:bCs/>
            <w:noProof/>
            <w:webHidden/>
          </w:rPr>
          <w:t>Ошибка! Закладка не определена.</w:t>
        </w:r>
        <w:r w:rsidR="00047AF2">
          <w:rPr>
            <w:webHidden/>
          </w:rPr>
          <w:fldChar w:fldCharType="end"/>
        </w:r>
      </w:hyperlink>
    </w:p>
    <w:p w:rsidR="00047AF2" w:rsidRPr="00E61DF3" w:rsidRDefault="000601A4" w:rsidP="00526C7C">
      <w:pPr>
        <w:pStyle w:val="23"/>
      </w:pPr>
      <w:hyperlink w:anchor="ИНСТРУКЦИИ" w:history="1">
        <w:r w:rsidR="00047AF2" w:rsidRPr="00E61DF3">
          <w:t>10.4.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№4)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805CC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поставку и внедрение Системы принятия кредитного решения</w:t>
      </w:r>
      <w:r w:rsidR="00672341">
        <w:rPr>
          <w:b/>
          <w:szCs w:val="24"/>
        </w:rPr>
        <w:t xml:space="preserve"> для ПАО «МТС-Банк».</w:t>
      </w:r>
    </w:p>
    <w:p w:rsidR="00DB5093" w:rsidRPr="00D81F5B" w:rsidRDefault="00F771DB" w:rsidP="00EA5FA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31640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>(495) 745-81-84 (доб. 22-08</w:t>
      </w:r>
      <w:r w:rsidR="00672341" w:rsidRPr="002754CB">
        <w:rPr>
          <w:szCs w:val="24"/>
        </w:rPr>
        <w:t>)</w:t>
      </w:r>
    </w:p>
    <w:p w:rsidR="001A03E8" w:rsidRDefault="00F771DB" w:rsidP="00612CDA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612CDA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0C5361">
      <w:pPr>
        <w:pStyle w:val="26"/>
        <w:numPr>
          <w:ilvl w:val="2"/>
          <w:numId w:val="38"/>
        </w:numPr>
        <w:tabs>
          <w:tab w:val="left" w:pos="709"/>
        </w:tabs>
        <w:ind w:left="0" w:firstLine="360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612CDA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16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Pr="001F7987">
        <w:rPr>
          <w:b/>
          <w:i/>
          <w:szCs w:val="24"/>
        </w:rPr>
        <w:t>26.08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5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047AF2" w:rsidRPr="00BA08E8" w:rsidRDefault="00047AF2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r w:rsidRPr="00BA08E8">
        <w:rPr>
          <w:szCs w:val="24"/>
        </w:rPr>
        <w:t>.</w:t>
      </w:r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bookmarkStart w:id="22" w:name="_Toc189545070"/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0C5361">
      <w:pPr>
        <w:numPr>
          <w:ilvl w:val="0"/>
          <w:numId w:val="28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3C0AEA">
        <w:rPr>
          <w:bCs/>
          <w:iCs/>
          <w:szCs w:val="24"/>
        </w:rPr>
        <w:t xml:space="preserve">на </w:t>
      </w:r>
      <w:r w:rsidR="003C0AEA" w:rsidRPr="00A20D6C">
        <w:rPr>
          <w:b/>
          <w:szCs w:val="24"/>
        </w:rPr>
        <w:t>поставку и внедрение Системы принятия кредитного решения</w:t>
      </w:r>
      <w:r w:rsidR="003C0AEA">
        <w:rPr>
          <w:b/>
          <w:szCs w:val="24"/>
        </w:rPr>
        <w:t xml:space="preserve"> для ПАО «МТС-Банк»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0C5361">
      <w:pPr>
        <w:numPr>
          <w:ilvl w:val="0"/>
          <w:numId w:val="27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8974F6" w:rsidRDefault="00F771DB" w:rsidP="000C5361">
      <w:pPr>
        <w:numPr>
          <w:ilvl w:val="0"/>
          <w:numId w:val="27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3C0AEA">
        <w:t>согласно ТЗ (пп.</w:t>
      </w:r>
      <w:r w:rsidR="003C0AEA">
        <w:rPr>
          <w:szCs w:val="24"/>
        </w:rPr>
        <w:t>3.11-3.13)</w:t>
      </w:r>
      <w:r>
        <w:rPr>
          <w:szCs w:val="24"/>
        </w:rPr>
        <w:t>;</w:t>
      </w:r>
    </w:p>
    <w:p w:rsidR="008974F6" w:rsidRPr="00A37545" w:rsidRDefault="00F771DB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>есто и срок исполнения обязательств Поставщика:</w:t>
      </w:r>
      <w:r w:rsidR="008974F6" w:rsidRPr="00A37545">
        <w:t xml:space="preserve"> оказание услуг осуществляется силами Поставщика на территорию(</w:t>
      </w:r>
      <w:proofErr w:type="spellStart"/>
      <w:r w:rsidR="008974F6" w:rsidRPr="00A37545">
        <w:t>ии</w:t>
      </w:r>
      <w:proofErr w:type="spellEnd"/>
      <w:r w:rsidR="008974F6" w:rsidRPr="00A37545">
        <w:t xml:space="preserve">) Банка </w:t>
      </w:r>
      <w:r w:rsidR="00A37545" w:rsidRPr="00A37545">
        <w:t xml:space="preserve">по адресу: </w:t>
      </w:r>
      <w:proofErr w:type="spellStart"/>
      <w:r w:rsidR="00A37545" w:rsidRPr="00A37545">
        <w:t>г</w:t>
      </w:r>
      <w:proofErr w:type="gramStart"/>
      <w:r w:rsidR="00A37545" w:rsidRPr="00A37545">
        <w:t>.М</w:t>
      </w:r>
      <w:proofErr w:type="gramEnd"/>
      <w:r w:rsidR="00A37545" w:rsidRPr="00A37545">
        <w:t>осква</w:t>
      </w:r>
      <w:proofErr w:type="spellEnd"/>
      <w:r w:rsidR="00A37545" w:rsidRPr="00A37545">
        <w:t>, пр-т Андропова, д.18, корп.1</w:t>
      </w:r>
      <w:r w:rsidR="004B7354" w:rsidRPr="00A37545">
        <w:rPr>
          <w:szCs w:val="24"/>
        </w:rPr>
        <w:t>,</w:t>
      </w:r>
      <w:r w:rsidR="00592280" w:rsidRPr="00A37545">
        <w:t xml:space="preserve"> </w:t>
      </w:r>
      <w:r w:rsidR="008974F6" w:rsidRPr="00A37545">
        <w:t xml:space="preserve">в установленный </w:t>
      </w:r>
      <w:r w:rsidR="00A22530" w:rsidRPr="00A37545">
        <w:t xml:space="preserve">в Техническом задании </w:t>
      </w:r>
      <w:r w:rsidR="008974F6" w:rsidRPr="00A37545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lastRenderedPageBreak/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0C5361">
      <w:pPr>
        <w:numPr>
          <w:ilvl w:val="0"/>
          <w:numId w:val="28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0C5361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 xml:space="preserve">могут любые </w:t>
      </w:r>
      <w:proofErr w:type="gramStart"/>
      <w:r w:rsidR="00593A9A">
        <w:rPr>
          <w:szCs w:val="24"/>
        </w:rPr>
        <w:t>юридический</w:t>
      </w:r>
      <w:proofErr w:type="gramEnd"/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F33762" w:rsidRPr="0097788A" w:rsidRDefault="00F3376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proofErr w:type="gramStart"/>
      <w:r w:rsidRPr="0097788A">
        <w:rPr>
          <w:sz w:val="24"/>
          <w:szCs w:val="24"/>
        </w:rPr>
        <w:t xml:space="preserve">иметь опыт выполнения аналогичных по характеру и объему договоров по внедрению систем принятия решений в Банках России и/или СНГ с клиентской базой  более одного миллиона клиентов за последние 5 лет </w:t>
      </w:r>
      <w:proofErr w:type="gramEnd"/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P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 xml:space="preserve">должен иметь необходимую численность квалифицированного персонала в соответствии с выполняемой работой, иметь материально-техническую базу для полного </w:t>
      </w:r>
      <w:r w:rsidR="00E83AF9">
        <w:rPr>
          <w:sz w:val="24"/>
          <w:szCs w:val="24"/>
        </w:rPr>
        <w:t xml:space="preserve">и своевременного выполнения </w:t>
      </w:r>
      <w:r w:rsidR="00231640">
        <w:rPr>
          <w:sz w:val="24"/>
          <w:szCs w:val="24"/>
        </w:rPr>
        <w:t xml:space="preserve">Договора </w:t>
      </w:r>
      <w:r w:rsidR="00F33762" w:rsidRPr="00F33762">
        <w:rPr>
          <w:sz w:val="24"/>
          <w:szCs w:val="24"/>
        </w:rPr>
        <w:t>поставки и внедрения Системы принятия кредитного решения для ПАО «МТС-Банк»</w:t>
      </w:r>
      <w:r w:rsidRPr="008D13B2">
        <w:rPr>
          <w:sz w:val="24"/>
          <w:szCs w:val="24"/>
        </w:rPr>
        <w:t>;</w:t>
      </w:r>
    </w:p>
    <w:p w:rsidR="008D13B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0C5361">
      <w:pPr>
        <w:pStyle w:val="aff5"/>
        <w:numPr>
          <w:ilvl w:val="0"/>
          <w:numId w:val="20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0C5361">
      <w:pPr>
        <w:pStyle w:val="26"/>
        <w:numPr>
          <w:ilvl w:val="1"/>
          <w:numId w:val="28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="00047AF2" w:rsidRPr="00BA08E8">
        <w:rPr>
          <w:szCs w:val="24"/>
        </w:rPr>
        <w:t xml:space="preserve">3.2.1. </w:t>
      </w:r>
      <w:proofErr w:type="gramStart"/>
      <w:r w:rsidR="00047AF2" w:rsidRPr="00BA08E8">
        <w:rPr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</w:t>
      </w:r>
      <w:r w:rsidR="0097788A">
        <w:rPr>
          <w:szCs w:val="24"/>
        </w:rPr>
        <w:t xml:space="preserve"> (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  <w:proofErr w:type="gramEnd"/>
    </w:p>
    <w:p w:rsidR="001517EB" w:rsidRPr="000B7233" w:rsidRDefault="001517EB" w:rsidP="000C5361">
      <w:pPr>
        <w:pStyle w:val="-3"/>
        <w:numPr>
          <w:ilvl w:val="0"/>
          <w:numId w:val="21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0C5361">
      <w:pPr>
        <w:pStyle w:val="-3"/>
        <w:numPr>
          <w:ilvl w:val="0"/>
          <w:numId w:val="21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BA08E8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6B197F" w:rsidRDefault="000A039C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Справку в свободной форме о выполнении аналогичных по характеру и объему договоров по </w:t>
      </w:r>
      <w:r w:rsidRPr="006B197F">
        <w:rPr>
          <w:sz w:val="24"/>
          <w:szCs w:val="24"/>
        </w:rPr>
        <w:t>внедрени</w:t>
      </w:r>
      <w:r>
        <w:rPr>
          <w:sz w:val="24"/>
          <w:szCs w:val="24"/>
        </w:rPr>
        <w:t>ю</w:t>
      </w:r>
      <w:r w:rsidRPr="006B197F">
        <w:rPr>
          <w:sz w:val="24"/>
          <w:szCs w:val="24"/>
        </w:rPr>
        <w:t xml:space="preserve"> систем принятия решений в Банках России и/или СНГ с клиентской базой  более одного миллиона клиентов за последние 5 лет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6B197F">
        <w:rPr>
          <w:sz w:val="24"/>
          <w:szCs w:val="24"/>
        </w:rPr>
        <w:t>mail</w:t>
      </w:r>
      <w:proofErr w:type="spellEnd"/>
      <w:r w:rsidRPr="006B197F">
        <w:rPr>
          <w:sz w:val="24"/>
          <w:szCs w:val="24"/>
        </w:rPr>
        <w:t xml:space="preserve"> представителя клиента, отзывы заказчиков – копии, заверенные руководителем организации). </w:t>
      </w:r>
    </w:p>
    <w:p w:rsidR="00047AF2" w:rsidRDefault="00047AF2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Pr="00BA08E8" w:rsidRDefault="00EB20E7" w:rsidP="000C5361">
      <w:pPr>
        <w:pStyle w:val="aff5"/>
        <w:numPr>
          <w:ilvl w:val="0"/>
          <w:numId w:val="21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справку о региональной сети Участника (список филиалов, представительств и агентств Участника по регионам с указанием их адресов и полномочий)</w:t>
      </w:r>
      <w:r w:rsidRPr="004B4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оригинал,  подписанный руководителем организации </w:t>
      </w:r>
      <w:r w:rsidRPr="00BA08E8">
        <w:rPr>
          <w:sz w:val="24"/>
          <w:szCs w:val="24"/>
        </w:rPr>
        <w:t>(</w:t>
      </w:r>
      <w:r w:rsidRPr="00E83AF9">
        <w:rPr>
          <w:b/>
          <w:i/>
          <w:sz w:val="24"/>
          <w:szCs w:val="24"/>
        </w:rPr>
        <w:t>по дополнительно</w:t>
      </w:r>
      <w:r w:rsidR="000A039C">
        <w:rPr>
          <w:b/>
          <w:i/>
          <w:sz w:val="24"/>
          <w:szCs w:val="24"/>
        </w:rPr>
        <w:t>му требованию Инициатора закупки</w:t>
      </w:r>
      <w:r w:rsidRPr="00BA08E8">
        <w:rPr>
          <w:sz w:val="24"/>
          <w:szCs w:val="24"/>
        </w:rPr>
        <w:t>);</w:t>
      </w:r>
    </w:p>
    <w:p w:rsidR="00EB20E7" w:rsidRDefault="00420D79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5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 xml:space="preserve">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</w:t>
      </w:r>
      <w:r w:rsidR="00047AF2" w:rsidRPr="00BA08E8">
        <w:rPr>
          <w:szCs w:val="24"/>
        </w:rPr>
        <w:lastRenderedPageBreak/>
        <w:t>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0C5361">
      <w:pPr>
        <w:pStyle w:val="111"/>
        <w:pageBreakBefore w:val="0"/>
        <w:numPr>
          <w:ilvl w:val="0"/>
          <w:numId w:val="17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0C5361">
      <w:pPr>
        <w:pStyle w:val="26"/>
        <w:numPr>
          <w:ilvl w:val="1"/>
          <w:numId w:val="17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0C5361">
      <w:pPr>
        <w:numPr>
          <w:ilvl w:val="1"/>
          <w:numId w:val="17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Pr="00935846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>
        <w:rPr>
          <w:b/>
          <w:szCs w:val="24"/>
        </w:rPr>
        <w:t>2</w:t>
      </w:r>
      <w:r w:rsidR="00F1135D">
        <w:rPr>
          <w:b/>
          <w:szCs w:val="24"/>
        </w:rPr>
        <w:t>9</w:t>
      </w:r>
      <w:r w:rsidRPr="007702C7">
        <w:rPr>
          <w:b/>
          <w:szCs w:val="24"/>
        </w:rPr>
        <w:t xml:space="preserve">» </w:t>
      </w:r>
      <w:r>
        <w:rPr>
          <w:b/>
          <w:szCs w:val="24"/>
        </w:rPr>
        <w:t>августа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 xml:space="preserve">(Форма № 1, п.10.1)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2, п.10.2) </w:t>
      </w:r>
      <w:r w:rsidR="000A039C">
        <w:rPr>
          <w:sz w:val="24"/>
          <w:szCs w:val="24"/>
        </w:rPr>
        <w:t>согласно ТЗ</w:t>
      </w:r>
      <w:r w:rsidR="0010012C">
        <w:rPr>
          <w:sz w:val="24"/>
          <w:szCs w:val="24"/>
        </w:rPr>
        <w:t>;</w:t>
      </w:r>
    </w:p>
    <w:p w:rsidR="0010012C" w:rsidRPr="000A039C" w:rsidRDefault="0010012C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10012C">
        <w:rPr>
          <w:sz w:val="24"/>
          <w:szCs w:val="24"/>
        </w:rPr>
        <w:t>Лист оценки соответствия требованиям</w:t>
      </w:r>
    </w:p>
    <w:p w:rsidR="0049094A" w:rsidRPr="0046328C" w:rsidRDefault="0049094A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0C5361">
      <w:pPr>
        <w:pStyle w:val="aff5"/>
        <w:numPr>
          <w:ilvl w:val="0"/>
          <w:numId w:val="23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>кументации (Форма № 4, п.10.4)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1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1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5279015"/>
      <w:bookmarkStart w:id="63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2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3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4.1.5. Требования пунктов 4.1.3. и 4.1.4. не распространяются на нотариаль</w:t>
      </w:r>
      <w:bookmarkStart w:id="64" w:name="_Ref56220439"/>
      <w:bookmarkStart w:id="65" w:name="_Ref56233643"/>
      <w:bookmarkStart w:id="66" w:name="_Ref56235653"/>
      <w:bookmarkStart w:id="67" w:name="_Toc57314646"/>
      <w:r w:rsidR="0010012C">
        <w:rPr>
          <w:szCs w:val="24"/>
        </w:rPr>
        <w:t>но заверенные копии документов.</w:t>
      </w:r>
      <w:r w:rsidR="00047AF2" w:rsidRPr="00BA08E8">
        <w:rPr>
          <w:szCs w:val="24"/>
        </w:rPr>
        <w:t xml:space="preserve"> </w:t>
      </w:r>
    </w:p>
    <w:bookmarkEnd w:id="64"/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10012C">
        <w:rPr>
          <w:szCs w:val="24"/>
        </w:rPr>
        <w:t>6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0C5361">
      <w:pPr>
        <w:pStyle w:val="26"/>
        <w:numPr>
          <w:ilvl w:val="1"/>
          <w:numId w:val="3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lastRenderedPageBreak/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0C5361">
      <w:pPr>
        <w:pStyle w:val="26"/>
        <w:numPr>
          <w:ilvl w:val="1"/>
          <w:numId w:val="17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5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0C5361">
      <w:pPr>
        <w:pStyle w:val="111"/>
        <w:pageBreakBefore w:val="0"/>
        <w:numPr>
          <w:ilvl w:val="0"/>
          <w:numId w:val="17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0C5361">
      <w:pPr>
        <w:pStyle w:val="aff3"/>
        <w:keepNext/>
        <w:numPr>
          <w:ilvl w:val="1"/>
          <w:numId w:val="22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3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16:00 (время московское) «26» августа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0C5361">
      <w:pPr>
        <w:pStyle w:val="aff3"/>
        <w:keepNext/>
        <w:numPr>
          <w:ilvl w:val="2"/>
          <w:numId w:val="17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0C5361">
      <w:pPr>
        <w:numPr>
          <w:ilvl w:val="0"/>
          <w:numId w:val="16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0C5361">
      <w:pPr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0C5361">
      <w:pPr>
        <w:pStyle w:val="26"/>
        <w:numPr>
          <w:ilvl w:val="1"/>
          <w:numId w:val="24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047AF2" w:rsidRPr="00E5385B" w:rsidRDefault="00047AF2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>стоимость услуг</w:t>
      </w:r>
      <w:r w:rsidR="00E5385B">
        <w:rPr>
          <w:b/>
          <w:szCs w:val="24"/>
        </w:rPr>
        <w:t>;</w:t>
      </w:r>
    </w:p>
    <w:p w:rsidR="00E5385B" w:rsidRPr="00E5385B" w:rsidRDefault="00E5385B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>соответствие требованиям ТЗ;</w:t>
      </w:r>
    </w:p>
    <w:p w:rsidR="00047AF2" w:rsidRPr="00E5385B" w:rsidRDefault="00E5385B" w:rsidP="000C5361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E5385B">
        <w:rPr>
          <w:b/>
          <w:szCs w:val="24"/>
        </w:rPr>
        <w:t>опыт выполнения аналогичных Договоров</w:t>
      </w:r>
      <w:r>
        <w:rPr>
          <w:b/>
          <w:szCs w:val="24"/>
        </w:rPr>
        <w:t>.</w:t>
      </w:r>
    </w:p>
    <w:p w:rsidR="0044749D" w:rsidRPr="00F42B77" w:rsidRDefault="0044749D" w:rsidP="0044749D">
      <w:pPr>
        <w:spacing w:after="0" w:line="240" w:lineRule="auto"/>
        <w:jc w:val="both"/>
        <w:rPr>
          <w:szCs w:val="24"/>
        </w:rPr>
      </w:pPr>
    </w:p>
    <w:p w:rsidR="00047AF2" w:rsidRPr="00A47F8E" w:rsidRDefault="00047AF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3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0C5361">
      <w:pPr>
        <w:pStyle w:val="111"/>
        <w:pageBreakBefore w:val="0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Toc399409618"/>
      <w:r w:rsidRPr="00493A29">
        <w:rPr>
          <w:rFonts w:ascii="Times New Roman" w:hAnsi="Times New Roman"/>
          <w:caps/>
          <w:sz w:val="24"/>
          <w:szCs w:val="24"/>
        </w:rPr>
        <w:t xml:space="preserve">Решение о заключении договора по итогам проведенного запроса принимается организатором закупки самостоятельно, по совокупности оценочных критериев участников запроса. </w:t>
      </w:r>
      <w:bookmarkStart w:id="123" w:name="_Ref55280483"/>
      <w:bookmarkStart w:id="124" w:name="_Toc55285357"/>
      <w:bookmarkStart w:id="125" w:name="_Toc55305389"/>
      <w:bookmarkStart w:id="126" w:name="_Toc57314660"/>
      <w:bookmarkStart w:id="127" w:name="_Toc69728974"/>
      <w:bookmarkStart w:id="128" w:name="_Toc189545083"/>
      <w:bookmarkStart w:id="129" w:name="_Toc251847632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3"/>
      <w:bookmarkEnd w:id="124"/>
      <w:bookmarkEnd w:id="125"/>
      <w:bookmarkEnd w:id="126"/>
      <w:bookmarkEnd w:id="127"/>
      <w:bookmarkEnd w:id="128"/>
      <w:bookmarkEnd w:id="129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2"/>
    </w:p>
    <w:p w:rsidR="00586497" w:rsidRDefault="00586497" w:rsidP="000C5361">
      <w:pPr>
        <w:numPr>
          <w:ilvl w:val="1"/>
          <w:numId w:val="24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0C5361">
      <w:pPr>
        <w:numPr>
          <w:ilvl w:val="1"/>
          <w:numId w:val="24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0C5361">
      <w:pPr>
        <w:pStyle w:val="11112"/>
        <w:numPr>
          <w:ilvl w:val="0"/>
          <w:numId w:val="24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0C5361">
      <w:pPr>
        <w:pStyle w:val="aff3"/>
        <w:numPr>
          <w:ilvl w:val="0"/>
          <w:numId w:val="24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0C5361">
      <w:pPr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0C5361">
      <w:pPr>
        <w:pStyle w:val="111"/>
        <w:numPr>
          <w:ilvl w:val="0"/>
          <w:numId w:val="24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0C5361">
      <w:pPr>
        <w:pStyle w:val="26"/>
        <w:numPr>
          <w:ilvl w:val="1"/>
          <w:numId w:val="2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A1508E" w:rsidRDefault="00047AF2" w:rsidP="00A1508E">
      <w:pPr>
        <w:spacing w:line="240" w:lineRule="auto"/>
        <w:jc w:val="both"/>
        <w:rPr>
          <w:rFonts w:eastAsia="Calibri"/>
          <w:szCs w:val="24"/>
          <w:lang w:eastAsia="ru-RU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>открытому запросу предложений на поставку и внедрение Системы принятия кредитного решения</w:t>
      </w:r>
      <w:r w:rsidR="00A1508E">
        <w:rPr>
          <w:szCs w:val="24"/>
        </w:rPr>
        <w:t>,</w:t>
      </w:r>
      <w:r w:rsidRPr="00BA08E8">
        <w:rPr>
          <w:szCs w:val="24"/>
        </w:rPr>
        <w:t xml:space="preserve"> 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BA08E8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EE2E1B">
        <w:rPr>
          <w:szCs w:val="24"/>
        </w:rPr>
        <w:t>ие (Форма № 2) – на ____ листах.</w:t>
      </w:r>
    </w:p>
    <w:p w:rsidR="00047AF2" w:rsidRPr="00BA08E8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A1508E" w:rsidRDefault="00A1508E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Заполненный </w:t>
      </w:r>
      <w:r w:rsidRPr="00467102">
        <w:rPr>
          <w:szCs w:val="24"/>
        </w:rPr>
        <w:t>Лист оценки соответствия требованиям</w:t>
      </w:r>
      <w:r w:rsidRPr="00BA08E8">
        <w:rPr>
          <w:szCs w:val="24"/>
        </w:rPr>
        <w:t xml:space="preserve"> </w:t>
      </w:r>
    </w:p>
    <w:p w:rsidR="00047AF2" w:rsidRDefault="00047AF2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Pr="00BA08E8" w:rsidRDefault="00A1508E" w:rsidP="000C5361">
      <w:pPr>
        <w:numPr>
          <w:ilvl w:val="0"/>
          <w:numId w:val="13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характеру и объему договоров по </w:t>
      </w:r>
      <w:r w:rsidRPr="006B197F">
        <w:rPr>
          <w:szCs w:val="24"/>
        </w:rPr>
        <w:t>внедрени</w:t>
      </w:r>
      <w:r>
        <w:rPr>
          <w:szCs w:val="24"/>
        </w:rPr>
        <w:t>ю</w:t>
      </w:r>
      <w:r w:rsidRPr="006B197F">
        <w:rPr>
          <w:szCs w:val="24"/>
        </w:rPr>
        <w:t xml:space="preserve"> систем принятия решений в Банках России и/или СНГ с клиентской базой  более одного миллиона клиентов 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3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3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0C5361">
      <w:pPr>
        <w:pStyle w:val="26"/>
        <w:numPr>
          <w:ilvl w:val="1"/>
          <w:numId w:val="30"/>
        </w:numPr>
        <w:tabs>
          <w:tab w:val="left" w:pos="180"/>
        </w:tabs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0601A4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3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Pr="00BA08E8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047AF2" w:rsidRPr="00BA08E8" w:rsidRDefault="00047AF2" w:rsidP="000C5361">
      <w:pPr>
        <w:pStyle w:val="26"/>
        <w:numPr>
          <w:ilvl w:val="1"/>
          <w:numId w:val="30"/>
        </w:numPr>
        <w:spacing w:after="240"/>
        <w:ind w:left="0" w:firstLine="709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№4)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0601A4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Да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 xml:space="preserve"> / Н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>ет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pStyle w:val="aff5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Да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 xml:space="preserve"> / Н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>ет</w:t>
            </w: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2754CB" w:rsidRDefault="00A1508E" w:rsidP="00A1508E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2754CB">
        <w:rPr>
          <w:b/>
          <w:spacing w:val="36"/>
          <w:szCs w:val="24"/>
        </w:rPr>
        <w:t>конец формы</w:t>
      </w:r>
    </w:p>
    <w:p w:rsidR="00A1508E" w:rsidRPr="002754CB" w:rsidRDefault="00A1508E" w:rsidP="00A1508E">
      <w:pPr>
        <w:pStyle w:val="26"/>
        <w:tabs>
          <w:tab w:val="num" w:pos="0"/>
        </w:tabs>
        <w:ind w:firstLine="0"/>
        <w:rPr>
          <w:rFonts w:ascii="Times New Roman" w:hAnsi="Times New Roman"/>
          <w:b w:val="0"/>
          <w:sz w:val="24"/>
          <w:szCs w:val="24"/>
        </w:rPr>
      </w:pPr>
    </w:p>
    <w:p w:rsidR="00A1508E" w:rsidRPr="002754CB" w:rsidRDefault="00A1508E" w:rsidP="000C5361">
      <w:pPr>
        <w:pStyle w:val="26"/>
        <w:numPr>
          <w:ilvl w:val="2"/>
          <w:numId w:val="25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A1508E" w:rsidRPr="002754CB" w:rsidRDefault="00A1508E" w:rsidP="00A1508E">
      <w:pPr>
        <w:pStyle w:val="26"/>
        <w:tabs>
          <w:tab w:val="num" w:pos="0"/>
        </w:tabs>
        <w:ind w:firstLine="709"/>
        <w:rPr>
          <w:rFonts w:ascii="Times New Roman" w:hAnsi="Times New Roman"/>
          <w:b w:val="0"/>
          <w:sz w:val="24"/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2754CB" w:rsidRDefault="00160263" w:rsidP="00160263">
      <w:pPr>
        <w:spacing w:after="0" w:line="240" w:lineRule="auto"/>
        <w:jc w:val="right"/>
        <w:rPr>
          <w:szCs w:val="24"/>
        </w:rPr>
      </w:pPr>
      <w:r w:rsidRPr="002754CB">
        <w:rPr>
          <w:szCs w:val="24"/>
        </w:rPr>
        <w:lastRenderedPageBreak/>
        <w:t xml:space="preserve">Приложение №1 </w:t>
      </w:r>
    </w:p>
    <w:p w:rsidR="00160263" w:rsidRPr="002754CB" w:rsidRDefault="00160263" w:rsidP="00160263">
      <w:pPr>
        <w:spacing w:after="0" w:line="240" w:lineRule="auto"/>
        <w:jc w:val="right"/>
        <w:rPr>
          <w:szCs w:val="24"/>
        </w:rPr>
      </w:pPr>
      <w:r w:rsidRPr="002754CB">
        <w:rPr>
          <w:szCs w:val="24"/>
        </w:rPr>
        <w:t>к Закупочной документации</w:t>
      </w:r>
    </w:p>
    <w:p w:rsid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160263" w:rsidRPr="00A37545" w:rsidRDefault="00160263" w:rsidP="00160263">
      <w:pPr>
        <w:tabs>
          <w:tab w:val="left" w:pos="8820"/>
        </w:tabs>
        <w:spacing w:after="0" w:line="240" w:lineRule="auto"/>
        <w:jc w:val="center"/>
        <w:rPr>
          <w:b/>
          <w:szCs w:val="24"/>
        </w:rPr>
      </w:pPr>
      <w:r w:rsidRPr="00A37545">
        <w:rPr>
          <w:b/>
          <w:szCs w:val="24"/>
        </w:rPr>
        <w:t xml:space="preserve">на поставку и внедрение системы </w:t>
      </w:r>
      <w:bookmarkStart w:id="160" w:name="_GoBack"/>
      <w:bookmarkEnd w:id="160"/>
      <w:r w:rsidRPr="00A37545">
        <w:rPr>
          <w:b/>
          <w:szCs w:val="24"/>
        </w:rPr>
        <w:t xml:space="preserve">принятия кредитного решения </w:t>
      </w:r>
      <w:r w:rsidRPr="00A37545">
        <w:rPr>
          <w:szCs w:val="24"/>
        </w:rPr>
        <w:t>для ПАО «МТС-Банк»</w:t>
      </w:r>
    </w:p>
    <w:p w:rsidR="00160263" w:rsidRPr="008E743D" w:rsidRDefault="00160263" w:rsidP="00A37545">
      <w:pPr>
        <w:pStyle w:val="21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</w:rPr>
      </w:pPr>
      <w:bookmarkStart w:id="161" w:name="_Toc399409591"/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</w:rPr>
        <w:t>:</w:t>
      </w:r>
      <w:bookmarkEnd w:id="161"/>
    </w:p>
    <w:p w:rsidR="00160263" w:rsidRDefault="00160263" w:rsidP="000C5361">
      <w:pPr>
        <w:pStyle w:val="-3"/>
        <w:numPr>
          <w:ilvl w:val="0"/>
          <w:numId w:val="6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 xml:space="preserve">Необходимо заменить текущую систему принятия кредитного решения </w:t>
      </w:r>
      <w:proofErr w:type="spellStart"/>
      <w:r>
        <w:rPr>
          <w:sz w:val="24"/>
          <w:lang w:val="en-US"/>
        </w:rPr>
        <w:t>Deductor</w:t>
      </w:r>
      <w:proofErr w:type="spellEnd"/>
      <w:r>
        <w:rPr>
          <w:sz w:val="24"/>
        </w:rPr>
        <w:t xml:space="preserve"> в ПАО «МТС-Банк»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новую (далее – СПР), удовлетворяющую требованиям, указанным в текущем документе</w:t>
      </w:r>
      <w:r w:rsidRPr="008E743D">
        <w:rPr>
          <w:sz w:val="24"/>
        </w:rPr>
        <w:t>;</w:t>
      </w:r>
    </w:p>
    <w:p w:rsidR="00160263" w:rsidRPr="00120286" w:rsidRDefault="00160263" w:rsidP="000C5361">
      <w:pPr>
        <w:pStyle w:val="-3"/>
        <w:numPr>
          <w:ilvl w:val="0"/>
          <w:numId w:val="6"/>
        </w:numPr>
        <w:spacing w:line="240" w:lineRule="auto"/>
        <w:ind w:left="0" w:firstLine="709"/>
      </w:pPr>
      <w:r>
        <w:rPr>
          <w:sz w:val="24"/>
        </w:rPr>
        <w:t>СПР</w:t>
      </w:r>
      <w:r w:rsidRPr="00120286">
        <w:rPr>
          <w:sz w:val="24"/>
        </w:rPr>
        <w:t xml:space="preserve"> должна соответствовать </w:t>
      </w:r>
      <w:r>
        <w:rPr>
          <w:sz w:val="24"/>
        </w:rPr>
        <w:t xml:space="preserve">функциональным и нефункциональным требованиям, а также требованиям к защите информации,  изложенным </w:t>
      </w:r>
      <w:r w:rsidRPr="00120286">
        <w:rPr>
          <w:sz w:val="24"/>
        </w:rPr>
        <w:t>в Приложении 1</w:t>
      </w:r>
      <w:r>
        <w:rPr>
          <w:sz w:val="24"/>
        </w:rPr>
        <w:t xml:space="preserve"> к настоящему техническому заданию (далее – ТЗ)</w:t>
      </w:r>
      <w:r w:rsidRPr="00120286">
        <w:rPr>
          <w:sz w:val="24"/>
        </w:rPr>
        <w:t>;</w:t>
      </w:r>
    </w:p>
    <w:p w:rsidR="00160263" w:rsidRDefault="00160263" w:rsidP="00160263">
      <w:pPr>
        <w:spacing w:after="0" w:line="240" w:lineRule="auto"/>
        <w:ind w:firstLine="709"/>
        <w:jc w:val="both"/>
      </w:pPr>
      <w:r w:rsidRPr="00451CE4">
        <w:t>Предметом закупки является наилучшее предложение на заключение договора на  поставку</w:t>
      </w:r>
      <w:r>
        <w:t xml:space="preserve"> и внедрение СПР</w:t>
      </w:r>
      <w:r w:rsidRPr="00451CE4">
        <w:rPr>
          <w:bCs/>
        </w:rPr>
        <w:t xml:space="preserve"> </w:t>
      </w:r>
      <w:r w:rsidRPr="00451CE4">
        <w:t>на следующих условиях:</w:t>
      </w:r>
    </w:p>
    <w:p w:rsidR="00160263" w:rsidRPr="006E082D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2" w:name="_Toc384634891"/>
      <w:r w:rsidRPr="006E082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Состав работ/услуг и специальные требования к работам/услугам</w:t>
      </w:r>
      <w:bookmarkEnd w:id="162"/>
      <w:r w:rsidRPr="006E082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 xml:space="preserve"> </w:t>
      </w:r>
    </w:p>
    <w:p w:rsidR="00160263" w:rsidRPr="003B38A5" w:rsidRDefault="00160263" w:rsidP="000C5361">
      <w:pPr>
        <w:numPr>
          <w:ilvl w:val="1"/>
          <w:numId w:val="18"/>
        </w:numPr>
        <w:spacing w:after="0" w:line="240" w:lineRule="auto"/>
        <w:ind w:left="142" w:hanging="142"/>
        <w:jc w:val="both"/>
        <w:rPr>
          <w:b/>
          <w:bCs/>
        </w:rPr>
      </w:pPr>
      <w:r w:rsidRPr="003B38A5">
        <w:rPr>
          <w:b/>
          <w:bCs/>
        </w:rPr>
        <w:t>Задачи: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Подготовить и еженедельно актуализировать план – график работ по проекту.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Разработать</w:t>
      </w:r>
      <w:r>
        <w:rPr>
          <w:bCs/>
        </w:rPr>
        <w:t xml:space="preserve"> и согласовать с заказчиком</w:t>
      </w:r>
      <w:r w:rsidRPr="000E6C42">
        <w:rPr>
          <w:bCs/>
        </w:rPr>
        <w:t xml:space="preserve"> необходимые функциональные требования и технические задания на автоматизацию;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Создать инфраструктуру для развертывания системы на технологических площадках Банка;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Настроить/доработать до полного соответствия бизнес и функциональным требованиям программное обеспечение на развернутой инфраструктуре Банка, включая реализацию точек интеграции с внутренними и внешними ИС;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Оформить техническую документацию на русском языке</w:t>
      </w:r>
      <w:r>
        <w:rPr>
          <w:bCs/>
        </w:rPr>
        <w:t xml:space="preserve"> и в соответствии с требованиями Банка</w:t>
      </w:r>
      <w:r w:rsidRPr="000E6C42">
        <w:rPr>
          <w:bCs/>
        </w:rPr>
        <w:t>, описывающую настройки, функционировани</w:t>
      </w:r>
      <w:r>
        <w:rPr>
          <w:bCs/>
        </w:rPr>
        <w:t xml:space="preserve">е, структуру и использование ПО, резервирование, </w:t>
      </w:r>
      <w:r>
        <w:rPr>
          <w:bCs/>
          <w:lang w:val="en-US"/>
        </w:rPr>
        <w:t>back</w:t>
      </w:r>
      <w:r w:rsidRPr="00D85FD7">
        <w:rPr>
          <w:bCs/>
        </w:rPr>
        <w:t>-</w:t>
      </w:r>
      <w:r>
        <w:rPr>
          <w:bCs/>
          <w:lang w:val="en-US"/>
        </w:rPr>
        <w:t>up</w:t>
      </w:r>
      <w:r w:rsidRPr="00D85FD7">
        <w:rPr>
          <w:bCs/>
        </w:rPr>
        <w:t xml:space="preserve"> </w:t>
      </w:r>
      <w:r>
        <w:rPr>
          <w:bCs/>
        </w:rPr>
        <w:t>и т.д.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 xml:space="preserve">Оформить пользовательскую документацию, руководство администратора, руководство разработчика на русском языке, описывающую сценарии работы с функционалом внедренного ПО и исходные коды </w:t>
      </w:r>
      <w:proofErr w:type="gramStart"/>
      <w:r w:rsidRPr="000E6C42">
        <w:rPr>
          <w:bCs/>
        </w:rPr>
        <w:t>ПО</w:t>
      </w:r>
      <w:proofErr w:type="gramEnd"/>
      <w:r w:rsidRPr="000E6C42">
        <w:rPr>
          <w:bCs/>
        </w:rPr>
        <w:t>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Оформить спецификацию интеграционных и прочих API;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Обучить пользователей и специалистов группы технического сопровождения, технологов, разработчиков, ключевых пользователей системы;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  <w:rPr>
          <w:bCs/>
        </w:rPr>
      </w:pPr>
      <w:r w:rsidRPr="000E6C42">
        <w:rPr>
          <w:bCs/>
        </w:rPr>
        <w:t>Провести приемо-сдаточные испытания и поэтапный ввод в опытно-промышленную эксплуатацию функционала системы</w:t>
      </w:r>
      <w:r>
        <w:rPr>
          <w:bCs/>
        </w:rPr>
        <w:t xml:space="preserve"> в соответствии с ВНД Банка</w:t>
      </w:r>
      <w:r w:rsidRPr="000E6C42">
        <w:rPr>
          <w:bCs/>
        </w:rPr>
        <w:t>;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</w:pPr>
      <w:r w:rsidRPr="000E6C42">
        <w:rPr>
          <w:bCs/>
        </w:rPr>
        <w:t xml:space="preserve">Обеспечить стабильное функционирование системы </w:t>
      </w:r>
      <w:r w:rsidRPr="007808B6">
        <w:rPr>
          <w:bCs/>
        </w:rPr>
        <w:t>и автоматическое резервирование, исправление ошибок по результ</w:t>
      </w:r>
      <w:r w:rsidRPr="000E6C42">
        <w:rPr>
          <w:bCs/>
        </w:rPr>
        <w:t>атам ОПЭ,  передать систему в промышленную эксплуатацию</w:t>
      </w:r>
      <w:r w:rsidRPr="000E6C42">
        <w:t>.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</w:pPr>
      <w:r w:rsidRPr="000E6C42">
        <w:t xml:space="preserve">Обеспечить техническую поддержку и сопровождение </w:t>
      </w:r>
      <w:proofErr w:type="gramStart"/>
      <w:r w:rsidRPr="000E6C42">
        <w:t>ПО</w:t>
      </w:r>
      <w:proofErr w:type="gramEnd"/>
      <w:r w:rsidRPr="000E6C42">
        <w:t xml:space="preserve"> в ходе проекта.</w:t>
      </w:r>
    </w:p>
    <w:p w:rsidR="00160263" w:rsidRPr="000E6C42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</w:pPr>
      <w:r w:rsidRPr="000E6C42">
        <w:t>Обеспечить гарантийную поддержку после ввода в ОПЭ.</w:t>
      </w:r>
    </w:p>
    <w:p w:rsidR="00160263" w:rsidRPr="00654005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</w:pPr>
      <w:r w:rsidRPr="00654005">
        <w:t>Обеспечить сопровождение и развитие после завершения проекта.</w:t>
      </w:r>
    </w:p>
    <w:p w:rsidR="00160263" w:rsidRDefault="00160263" w:rsidP="000C5361">
      <w:pPr>
        <w:numPr>
          <w:ilvl w:val="2"/>
          <w:numId w:val="18"/>
        </w:numPr>
        <w:spacing w:after="0" w:line="240" w:lineRule="auto"/>
        <w:ind w:left="0" w:firstLine="0"/>
        <w:jc w:val="both"/>
      </w:pPr>
      <w:r>
        <w:t xml:space="preserve">Перенос стратегий из </w:t>
      </w:r>
      <w:proofErr w:type="spellStart"/>
      <w:r>
        <w:rPr>
          <w:lang w:val="en-US"/>
        </w:rPr>
        <w:t>Deductor</w:t>
      </w:r>
      <w:proofErr w:type="spellEnd"/>
      <w:r>
        <w:t xml:space="preserve"> на СПР в соответствии с наполнением продуктовой линейки Банка (на текущий момент 15 стратегий).</w:t>
      </w:r>
    </w:p>
    <w:p w:rsidR="00160263" w:rsidRPr="003B38A5" w:rsidRDefault="00160263" w:rsidP="00160263">
      <w:pPr>
        <w:spacing w:after="0" w:line="240" w:lineRule="auto"/>
        <w:jc w:val="both"/>
      </w:pPr>
    </w:p>
    <w:p w:rsidR="00160263" w:rsidRPr="00510A11" w:rsidRDefault="00160263" w:rsidP="000C5361">
      <w:pPr>
        <w:keepNext/>
        <w:numPr>
          <w:ilvl w:val="1"/>
          <w:numId w:val="18"/>
        </w:numPr>
        <w:spacing w:after="0" w:line="240" w:lineRule="auto"/>
        <w:ind w:left="142" w:hanging="142"/>
        <w:jc w:val="both"/>
        <w:rPr>
          <w:b/>
          <w:bCs/>
        </w:rPr>
      </w:pPr>
      <w:bookmarkStart w:id="163" w:name="_Toc311018503"/>
      <w:bookmarkStart w:id="164" w:name="_Toc314493717"/>
      <w:r>
        <w:rPr>
          <w:b/>
          <w:bCs/>
        </w:rPr>
        <w:t>Функциональные</w:t>
      </w:r>
      <w:r w:rsidRPr="00510A11">
        <w:rPr>
          <w:b/>
          <w:bCs/>
        </w:rPr>
        <w:t xml:space="preserve"> требования:</w:t>
      </w:r>
    </w:p>
    <w:p w:rsidR="00160263" w:rsidRPr="00510A11" w:rsidRDefault="00160263" w:rsidP="000C5361">
      <w:pPr>
        <w:numPr>
          <w:ilvl w:val="2"/>
          <w:numId w:val="35"/>
        </w:numPr>
        <w:suppressAutoHyphens/>
        <w:ind w:left="0" w:firstLine="0"/>
        <w:contextualSpacing/>
        <w:jc w:val="both"/>
      </w:pPr>
      <w:r>
        <w:t>Функциональные</w:t>
      </w:r>
      <w:r w:rsidRPr="00510A11">
        <w:t xml:space="preserve"> требования Банка приведены в Приложении №1 </w:t>
      </w:r>
      <w:r>
        <w:t>к ТЗ</w:t>
      </w:r>
      <w:r w:rsidRPr="00510A11">
        <w:t>.</w:t>
      </w:r>
    </w:p>
    <w:p w:rsidR="00160263" w:rsidRPr="0021219B" w:rsidRDefault="00160263" w:rsidP="000C5361">
      <w:pPr>
        <w:numPr>
          <w:ilvl w:val="2"/>
          <w:numId w:val="35"/>
        </w:numPr>
        <w:suppressAutoHyphens/>
        <w:ind w:left="0" w:firstLine="0"/>
        <w:contextualSpacing/>
        <w:jc w:val="both"/>
      </w:pPr>
      <w:r w:rsidRPr="00510A11">
        <w:lastRenderedPageBreak/>
        <w:t>Поставщик должен привести в Коммерческом Предложении (далее</w:t>
      </w:r>
      <w:r>
        <w:t xml:space="preserve"> -</w:t>
      </w:r>
      <w:r w:rsidRPr="00510A11">
        <w:t xml:space="preserve"> КП) заполненную таблицу соответствия или не соответствия требованиям, а также отметить возможность доработки системы в рамках проекта в соответствии с условиями КП (сроки, стоимость). </w:t>
      </w:r>
    </w:p>
    <w:p w:rsidR="0021219B" w:rsidRPr="00510A11" w:rsidRDefault="0021219B" w:rsidP="0021219B">
      <w:pPr>
        <w:suppressAutoHyphens/>
        <w:contextualSpacing/>
        <w:jc w:val="both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5pt;height:50.25pt" o:ole="">
            <v:imagedata r:id="rId21" o:title=""/>
          </v:shape>
          <o:OLEObject Type="Embed" ProgID="Excel.Sheet.8" ShapeID="_x0000_i1026" DrawAspect="Icon" ObjectID="_1532767808" r:id="rId22"/>
        </w:object>
      </w:r>
    </w:p>
    <w:p w:rsidR="00160263" w:rsidRPr="00510A11" w:rsidRDefault="00160263" w:rsidP="000C5361">
      <w:pPr>
        <w:numPr>
          <w:ilvl w:val="2"/>
          <w:numId w:val="35"/>
        </w:numPr>
        <w:suppressAutoHyphens/>
        <w:ind w:left="0" w:firstLine="0"/>
        <w:contextualSpacing/>
        <w:jc w:val="both"/>
      </w:pPr>
      <w:r w:rsidRPr="00510A11">
        <w:t>Возможны следующие варианты отметок соответствия: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>Соответствует (</w:t>
      </w:r>
      <w:proofErr w:type="gramStart"/>
      <w:r w:rsidRPr="00510A11">
        <w:t>текущая</w:t>
      </w:r>
      <w:proofErr w:type="gramEnd"/>
      <w:r w:rsidRPr="00510A11">
        <w:t xml:space="preserve"> реализации системы соответствует требованию)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>Отсутствует (текущая реализация системы не поддерживает данного требования)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 xml:space="preserve">В рамках проекта (будет реализовано в соответствии с условиями КП </w:t>
      </w:r>
      <w:r>
        <w:t>–</w:t>
      </w:r>
      <w:r w:rsidRPr="00510A11">
        <w:t xml:space="preserve"> </w:t>
      </w:r>
      <w:r>
        <w:t xml:space="preserve">указать </w:t>
      </w:r>
      <w:r w:rsidRPr="00510A11">
        <w:t>сроки и стоимость)</w:t>
      </w:r>
    </w:p>
    <w:p w:rsidR="00160263" w:rsidRPr="00510A11" w:rsidRDefault="00160263" w:rsidP="000C5361">
      <w:pPr>
        <w:numPr>
          <w:ilvl w:val="2"/>
          <w:numId w:val="35"/>
        </w:numPr>
        <w:suppressAutoHyphens/>
        <w:ind w:left="0" w:firstLine="0"/>
        <w:contextualSpacing/>
        <w:jc w:val="both"/>
      </w:pPr>
      <w:r w:rsidRPr="00510A11">
        <w:t>Также поставщик указывает описание реализации каждого требования.</w:t>
      </w:r>
    </w:p>
    <w:p w:rsidR="00160263" w:rsidRPr="007B038D" w:rsidRDefault="00160263" w:rsidP="00160263">
      <w:pPr>
        <w:suppressAutoHyphens/>
        <w:contextualSpacing/>
        <w:jc w:val="both"/>
      </w:pPr>
    </w:p>
    <w:p w:rsidR="00160263" w:rsidRPr="00510A11" w:rsidRDefault="00160263" w:rsidP="000C5361">
      <w:pPr>
        <w:numPr>
          <w:ilvl w:val="1"/>
          <w:numId w:val="18"/>
        </w:numPr>
        <w:spacing w:after="0" w:line="240" w:lineRule="auto"/>
        <w:ind w:left="142" w:hanging="142"/>
        <w:jc w:val="both"/>
        <w:rPr>
          <w:b/>
        </w:rPr>
      </w:pPr>
      <w:r w:rsidRPr="00510A11">
        <w:rPr>
          <w:b/>
        </w:rPr>
        <w:t>Нефункциональные требования:</w:t>
      </w:r>
    </w:p>
    <w:p w:rsidR="00160263" w:rsidRPr="00510A11" w:rsidRDefault="00160263" w:rsidP="000C5361">
      <w:pPr>
        <w:numPr>
          <w:ilvl w:val="2"/>
          <w:numId w:val="34"/>
        </w:numPr>
        <w:spacing w:after="0" w:line="240" w:lineRule="auto"/>
        <w:ind w:left="0" w:firstLine="0"/>
        <w:contextualSpacing/>
        <w:jc w:val="both"/>
      </w:pPr>
      <w:r w:rsidRPr="00510A11">
        <w:t>Нефункциональные требования Банка приведены в Приложении №1</w:t>
      </w:r>
      <w:r>
        <w:t xml:space="preserve"> к ТЗ</w:t>
      </w:r>
      <w:r w:rsidRPr="00510A11">
        <w:t>.</w:t>
      </w:r>
    </w:p>
    <w:p w:rsidR="00160263" w:rsidRPr="00510A11" w:rsidRDefault="00160263" w:rsidP="000C5361">
      <w:pPr>
        <w:numPr>
          <w:ilvl w:val="2"/>
          <w:numId w:val="34"/>
        </w:numPr>
        <w:spacing w:after="0" w:line="240" w:lineRule="auto"/>
        <w:ind w:left="0" w:firstLine="0"/>
        <w:contextualSpacing/>
        <w:jc w:val="both"/>
      </w:pPr>
      <w:r w:rsidRPr="00510A11">
        <w:t>Поставщик должен привести в КП заполненную таблицу соответствия или не соответствия требованиям, а также отметить возможность доработки системы в рамках проекта в соответствии с условиями КП (</w:t>
      </w:r>
      <w:r>
        <w:t xml:space="preserve">указать </w:t>
      </w:r>
      <w:r w:rsidRPr="00510A11">
        <w:t xml:space="preserve">сроки, стоимость). </w:t>
      </w:r>
    </w:p>
    <w:p w:rsidR="00160263" w:rsidRPr="00510A11" w:rsidRDefault="00160263" w:rsidP="000C5361">
      <w:pPr>
        <w:numPr>
          <w:ilvl w:val="2"/>
          <w:numId w:val="34"/>
        </w:numPr>
        <w:spacing w:after="0" w:line="240" w:lineRule="auto"/>
        <w:ind w:left="0" w:firstLine="0"/>
        <w:contextualSpacing/>
        <w:jc w:val="both"/>
      </w:pPr>
      <w:r w:rsidRPr="00510A11">
        <w:t>Возможны следующие варианты отметок соответствия: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>Соответствует (</w:t>
      </w:r>
      <w:proofErr w:type="gramStart"/>
      <w:r w:rsidRPr="00510A11">
        <w:t>текущая</w:t>
      </w:r>
      <w:proofErr w:type="gramEnd"/>
      <w:r w:rsidRPr="00510A11">
        <w:t xml:space="preserve"> реализации системы соответствует требованию)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>Отсутствует (текущая реализация системы не поддерживает данного требования)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510A11">
        <w:t xml:space="preserve">В рамках проекта (Будет реализовано в соответствии с условиями КП </w:t>
      </w:r>
      <w:r>
        <w:t>–</w:t>
      </w:r>
      <w:r w:rsidRPr="00510A11">
        <w:t xml:space="preserve"> </w:t>
      </w:r>
      <w:r>
        <w:t xml:space="preserve">указать </w:t>
      </w:r>
      <w:r w:rsidRPr="00510A11">
        <w:t>сроки и стоимость)</w:t>
      </w:r>
    </w:p>
    <w:p w:rsidR="00160263" w:rsidRPr="00510A11" w:rsidRDefault="00160263" w:rsidP="000C5361">
      <w:pPr>
        <w:numPr>
          <w:ilvl w:val="2"/>
          <w:numId w:val="34"/>
        </w:numPr>
        <w:suppressAutoHyphens/>
        <w:spacing w:after="0" w:line="240" w:lineRule="auto"/>
        <w:ind w:left="0" w:firstLine="0"/>
        <w:contextualSpacing/>
        <w:jc w:val="both"/>
      </w:pPr>
      <w:r w:rsidRPr="00510A11">
        <w:t>Также поставщик указывает описание реализации каждого нефункционального требования.</w:t>
      </w:r>
    </w:p>
    <w:p w:rsidR="00160263" w:rsidRDefault="00160263" w:rsidP="00160263">
      <w:pPr>
        <w:suppressAutoHyphens/>
        <w:spacing w:after="0" w:line="240" w:lineRule="auto"/>
        <w:contextualSpacing/>
        <w:jc w:val="both"/>
      </w:pPr>
    </w:p>
    <w:p w:rsidR="00160263" w:rsidRPr="00510A11" w:rsidRDefault="00160263" w:rsidP="000C5361">
      <w:pPr>
        <w:numPr>
          <w:ilvl w:val="1"/>
          <w:numId w:val="18"/>
        </w:numPr>
        <w:spacing w:after="0" w:line="240" w:lineRule="auto"/>
        <w:ind w:left="142" w:hanging="142"/>
        <w:jc w:val="both"/>
        <w:rPr>
          <w:b/>
        </w:rPr>
      </w:pPr>
      <w:r w:rsidRPr="00510A11">
        <w:rPr>
          <w:b/>
        </w:rPr>
        <w:t>Требования к защите информации:</w:t>
      </w:r>
    </w:p>
    <w:p w:rsidR="00160263" w:rsidRPr="00510A11" w:rsidRDefault="00160263" w:rsidP="000C5361">
      <w:pPr>
        <w:numPr>
          <w:ilvl w:val="2"/>
          <w:numId w:val="18"/>
        </w:numPr>
        <w:spacing w:after="0" w:line="240" w:lineRule="auto"/>
        <w:ind w:left="709"/>
        <w:contextualSpacing/>
        <w:jc w:val="both"/>
      </w:pPr>
      <w:r w:rsidRPr="00510A11">
        <w:t>Требования Банка к защите информации приведены в Приложении №</w:t>
      </w:r>
      <w:r>
        <w:t>1 к ТЗ</w:t>
      </w:r>
      <w:r w:rsidRPr="00510A11">
        <w:t>.</w:t>
      </w:r>
    </w:p>
    <w:p w:rsidR="00160263" w:rsidRPr="00510A11" w:rsidRDefault="00160263" w:rsidP="000C5361">
      <w:pPr>
        <w:numPr>
          <w:ilvl w:val="2"/>
          <w:numId w:val="18"/>
        </w:numPr>
        <w:spacing w:after="0" w:line="240" w:lineRule="auto"/>
        <w:ind w:left="709"/>
        <w:contextualSpacing/>
        <w:jc w:val="both"/>
      </w:pPr>
      <w:r w:rsidRPr="00510A11">
        <w:t xml:space="preserve">Поставщик должен привести в КП заполненную таблицу соответствия или не соответствия требованиям, а также отметить возможность доработки системы в рамках проекта в соответствии с условиями КП (сроки, стоимость). </w:t>
      </w:r>
    </w:p>
    <w:p w:rsidR="00160263" w:rsidRPr="00510A11" w:rsidRDefault="00160263" w:rsidP="000C5361">
      <w:pPr>
        <w:numPr>
          <w:ilvl w:val="2"/>
          <w:numId w:val="18"/>
        </w:numPr>
        <w:spacing w:after="0" w:line="240" w:lineRule="auto"/>
        <w:ind w:left="709"/>
        <w:contextualSpacing/>
        <w:jc w:val="both"/>
      </w:pPr>
      <w:r w:rsidRPr="00510A11">
        <w:t>Возможны следующие варианты отметок соответствия: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709" w:firstLine="0"/>
        <w:jc w:val="both"/>
      </w:pPr>
      <w:r w:rsidRPr="00510A11">
        <w:t>Соответствует (</w:t>
      </w:r>
      <w:proofErr w:type="gramStart"/>
      <w:r w:rsidRPr="00510A11">
        <w:t>текущая</w:t>
      </w:r>
      <w:proofErr w:type="gramEnd"/>
      <w:r w:rsidRPr="00510A11">
        <w:t xml:space="preserve"> реализации системы соответствует требованию)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709" w:firstLine="0"/>
        <w:jc w:val="both"/>
      </w:pPr>
      <w:r w:rsidRPr="00510A11">
        <w:t>Отсутствует (текущая реализация системы не поддерживает данного требования)</w:t>
      </w:r>
    </w:p>
    <w:p w:rsidR="00160263" w:rsidRPr="00510A11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709" w:firstLine="0"/>
        <w:jc w:val="both"/>
      </w:pPr>
      <w:r>
        <w:t>В рамках проекта (б</w:t>
      </w:r>
      <w:r w:rsidRPr="00510A11">
        <w:t xml:space="preserve">удет реализовано в соответствии с условиями КП </w:t>
      </w:r>
      <w:r>
        <w:t>–</w:t>
      </w:r>
      <w:r w:rsidRPr="00510A11">
        <w:t xml:space="preserve"> </w:t>
      </w:r>
      <w:r>
        <w:t xml:space="preserve">указать </w:t>
      </w:r>
      <w:r w:rsidRPr="00510A11">
        <w:t>сроки и стоимость)</w:t>
      </w:r>
    </w:p>
    <w:p w:rsidR="00160263" w:rsidRPr="00510A11" w:rsidRDefault="00160263" w:rsidP="000C5361">
      <w:pPr>
        <w:numPr>
          <w:ilvl w:val="2"/>
          <w:numId w:val="18"/>
        </w:numPr>
        <w:spacing w:after="0" w:line="240" w:lineRule="auto"/>
        <w:ind w:left="709"/>
        <w:contextualSpacing/>
        <w:jc w:val="both"/>
      </w:pPr>
      <w:r w:rsidRPr="00510A11">
        <w:t>Также поставщик указывает описание реализации каждого нефункционального требования.</w:t>
      </w:r>
    </w:p>
    <w:p w:rsidR="00160263" w:rsidRPr="00510A11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5" w:name="_Toc384634892"/>
      <w:bookmarkEnd w:id="163"/>
      <w:bookmarkEnd w:id="164"/>
      <w:r w:rsidRPr="00510A11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 xml:space="preserve">Этапы выполнения работ и описание ожидаемых </w:t>
      </w:r>
      <w:proofErr w:type="gramStart"/>
      <w:r w:rsidRPr="00510A11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результатов выполнения работ/оказания услуг</w:t>
      </w:r>
      <w:bookmarkEnd w:id="165"/>
      <w:proofErr w:type="gramEnd"/>
    </w:p>
    <w:p w:rsidR="00160263" w:rsidRPr="00510A11" w:rsidRDefault="00160263" w:rsidP="000C5361">
      <w:pPr>
        <w:pStyle w:val="aff9"/>
        <w:numPr>
          <w:ilvl w:val="0"/>
          <w:numId w:val="33"/>
        </w:numPr>
        <w:tabs>
          <w:tab w:val="left" w:pos="567"/>
        </w:tabs>
        <w:suppressAutoHyphens/>
        <w:jc w:val="both"/>
        <w:rPr>
          <w:vanish/>
        </w:rPr>
      </w:pPr>
    </w:p>
    <w:p w:rsidR="00160263" w:rsidRPr="00510A11" w:rsidRDefault="00160263" w:rsidP="000C5361">
      <w:pPr>
        <w:pStyle w:val="aff9"/>
        <w:numPr>
          <w:ilvl w:val="0"/>
          <w:numId w:val="33"/>
        </w:numPr>
        <w:tabs>
          <w:tab w:val="left" w:pos="567"/>
        </w:tabs>
        <w:suppressAutoHyphens/>
        <w:jc w:val="both"/>
        <w:rPr>
          <w:vanish/>
        </w:rPr>
      </w:pPr>
    </w:p>
    <w:p w:rsidR="00160263" w:rsidRPr="00510A11" w:rsidRDefault="00160263" w:rsidP="000C5361">
      <w:pPr>
        <w:pStyle w:val="aff9"/>
        <w:numPr>
          <w:ilvl w:val="0"/>
          <w:numId w:val="33"/>
        </w:numPr>
        <w:tabs>
          <w:tab w:val="left" w:pos="567"/>
        </w:tabs>
        <w:suppressAutoHyphens/>
        <w:jc w:val="both"/>
        <w:rPr>
          <w:vanish/>
        </w:rPr>
      </w:pPr>
    </w:p>
    <w:p w:rsidR="00160263" w:rsidRPr="00510A11" w:rsidRDefault="00160263" w:rsidP="000C5361">
      <w:pPr>
        <w:pStyle w:val="aff9"/>
        <w:numPr>
          <w:ilvl w:val="0"/>
          <w:numId w:val="33"/>
        </w:numPr>
        <w:tabs>
          <w:tab w:val="left" w:pos="567"/>
        </w:tabs>
        <w:suppressAutoHyphens/>
        <w:jc w:val="both"/>
        <w:rPr>
          <w:vanish/>
        </w:rPr>
      </w:pPr>
    </w:p>
    <w:p w:rsidR="00160263" w:rsidRPr="007B0E9D" w:rsidRDefault="00160263" w:rsidP="000C5361">
      <w:pPr>
        <w:numPr>
          <w:ilvl w:val="1"/>
          <w:numId w:val="18"/>
        </w:numPr>
        <w:spacing w:after="0" w:line="240" w:lineRule="auto"/>
        <w:ind w:left="142" w:hanging="142"/>
        <w:jc w:val="both"/>
      </w:pPr>
      <w:r w:rsidRPr="007B0E9D">
        <w:t>Разбивка по этапам выполнения работ:</w:t>
      </w:r>
    </w:p>
    <w:p w:rsidR="00160263" w:rsidRDefault="00160263" w:rsidP="00160263">
      <w:pPr>
        <w:tabs>
          <w:tab w:val="left" w:pos="567"/>
        </w:tabs>
        <w:suppressAutoHyphens/>
        <w:spacing w:after="0" w:line="240" w:lineRule="auto"/>
        <w:ind w:left="349"/>
        <w:jc w:val="both"/>
      </w:pPr>
      <w:r>
        <w:t>- Интеграция СПР с системами Банка;</w:t>
      </w:r>
    </w:p>
    <w:p w:rsidR="00160263" w:rsidRDefault="00160263" w:rsidP="00160263">
      <w:pPr>
        <w:suppressAutoHyphens/>
        <w:spacing w:after="0" w:line="240" w:lineRule="auto"/>
        <w:ind w:left="360"/>
        <w:jc w:val="both"/>
      </w:pPr>
      <w:r>
        <w:t>- Система запускается в ОПЭ с одной стратегией;</w:t>
      </w:r>
    </w:p>
    <w:p w:rsidR="00160263" w:rsidRDefault="00160263" w:rsidP="00160263">
      <w:pPr>
        <w:suppressAutoHyphens/>
        <w:spacing w:after="0" w:line="240" w:lineRule="auto"/>
        <w:ind w:left="360"/>
        <w:jc w:val="both"/>
      </w:pPr>
      <w:r>
        <w:lastRenderedPageBreak/>
        <w:t>- Перенос стратегий осуществляется Поставщиком решения и/или внедрения;</w:t>
      </w:r>
    </w:p>
    <w:p w:rsidR="00160263" w:rsidRDefault="00160263" w:rsidP="00160263">
      <w:pPr>
        <w:suppressAutoHyphens/>
        <w:spacing w:after="0" w:line="240" w:lineRule="auto"/>
        <w:ind w:left="360"/>
        <w:jc w:val="both"/>
      </w:pPr>
      <w:r>
        <w:t>- Перенос  Поставщиком одной стратегии (с постепенным переносом оставшихся стратегий после сравнения результатов работы в двух системах);</w:t>
      </w:r>
    </w:p>
    <w:p w:rsidR="00160263" w:rsidRDefault="00160263" w:rsidP="00160263">
      <w:pPr>
        <w:suppressAutoHyphens/>
        <w:spacing w:after="0" w:line="240" w:lineRule="auto"/>
        <w:ind w:left="360"/>
        <w:jc w:val="both"/>
      </w:pPr>
      <w:r>
        <w:t xml:space="preserve">- Параллельная работа </w:t>
      </w:r>
      <w:proofErr w:type="spellStart"/>
      <w:r>
        <w:rPr>
          <w:lang w:val="en-US"/>
        </w:rPr>
        <w:t>Deductor</w:t>
      </w:r>
      <w:proofErr w:type="spellEnd"/>
      <w:r>
        <w:t xml:space="preserve"> и СПР до завершения переноса всех стратегий;</w:t>
      </w:r>
    </w:p>
    <w:p w:rsidR="00160263" w:rsidRPr="007B0E9D" w:rsidRDefault="00160263" w:rsidP="00160263">
      <w:pPr>
        <w:suppressAutoHyphens/>
        <w:spacing w:after="0" w:line="240" w:lineRule="auto"/>
        <w:ind w:left="360"/>
        <w:jc w:val="both"/>
      </w:pPr>
      <w:r>
        <w:t xml:space="preserve">- Вывод </w:t>
      </w:r>
      <w:proofErr w:type="spellStart"/>
      <w:r>
        <w:rPr>
          <w:lang w:val="en-US"/>
        </w:rPr>
        <w:t>Deductor</w:t>
      </w:r>
      <w:proofErr w:type="spellEnd"/>
      <w:r w:rsidRPr="00510A11">
        <w:t xml:space="preserve"> </w:t>
      </w:r>
      <w:r>
        <w:t>из промышленной эксплуатации по итогу переноса всех стратегий.</w:t>
      </w:r>
    </w:p>
    <w:p w:rsidR="00160263" w:rsidRPr="00510A11" w:rsidRDefault="00160263" w:rsidP="000C5361">
      <w:pPr>
        <w:pStyle w:val="aff9"/>
        <w:numPr>
          <w:ilvl w:val="1"/>
          <w:numId w:val="18"/>
        </w:numPr>
        <w:suppressAutoHyphens/>
        <w:ind w:hanging="720"/>
        <w:jc w:val="both"/>
      </w:pPr>
      <w:r w:rsidRPr="007B0E9D">
        <w:t>Ниже представлен список работ Поставщика/Интегратора и результат по каждой</w:t>
      </w:r>
      <w:r w:rsidRPr="00510A11">
        <w:t xml:space="preserve"> работе. Данные работы должны быть выполнены в рамках каждого этапа проекта и должны быть включены в Коммерческое Предложение.</w:t>
      </w:r>
    </w:p>
    <w:p w:rsidR="00160263" w:rsidRPr="00510A11" w:rsidRDefault="00160263" w:rsidP="00160263">
      <w:pPr>
        <w:suppressAutoHyphens/>
        <w:spacing w:after="0" w:line="240" w:lineRule="auto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3969"/>
        <w:gridCol w:w="4788"/>
      </w:tblGrid>
      <w:tr w:rsidR="00160263" w:rsidRPr="00510A11" w:rsidTr="00A37545">
        <w:trPr>
          <w:tblHeader/>
        </w:trPr>
        <w:tc>
          <w:tcPr>
            <w:tcW w:w="599" w:type="dxa"/>
          </w:tcPr>
          <w:p w:rsidR="00160263" w:rsidRPr="00510A11" w:rsidRDefault="00160263" w:rsidP="00A37545">
            <w:pPr>
              <w:rPr>
                <w:b/>
              </w:rPr>
            </w:pPr>
            <w:r w:rsidRPr="00510A11">
              <w:rPr>
                <w:b/>
                <w:sz w:val="22"/>
              </w:rPr>
              <w:t>№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rPr>
                <w:b/>
              </w:rPr>
            </w:pPr>
            <w:r w:rsidRPr="00510A11">
              <w:rPr>
                <w:b/>
                <w:sz w:val="22"/>
              </w:rPr>
              <w:t>Работа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rPr>
                <w:b/>
              </w:rPr>
            </w:pPr>
            <w:r w:rsidRPr="00510A11">
              <w:rPr>
                <w:b/>
                <w:sz w:val="22"/>
              </w:rPr>
              <w:t>Ожидаемый результат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1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Анализ предметной области и разработка технического задания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 xml:space="preserve">Разработан, согласован и передан в Банк Документ Техническое задание в объеме, достаточном для проведения разработки и настройки </w:t>
            </w:r>
            <w:proofErr w:type="gramStart"/>
            <w:r w:rsidRPr="00510A11">
              <w:t>ПО</w:t>
            </w:r>
            <w:proofErr w:type="gramEnd"/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2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Разработка и/или доработка документа Архитектура решения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Разработан, согласован и передан в Банк Документ Архитектура решения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3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Развертывание и настройка тестовых/промышленных сред на площадках Заказчика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 xml:space="preserve">Произведена настройка необходимых программных компонент внедряемого </w:t>
            </w:r>
            <w:proofErr w:type="gramStart"/>
            <w:r w:rsidRPr="00510A11">
              <w:t>ПО</w:t>
            </w:r>
            <w:proofErr w:type="gramEnd"/>
            <w:r w:rsidRPr="00510A11">
              <w:t xml:space="preserve">, </w:t>
            </w:r>
            <w:proofErr w:type="gramStart"/>
            <w:r w:rsidRPr="00510A11">
              <w:t>за</w:t>
            </w:r>
            <w:proofErr w:type="gramEnd"/>
            <w:r w:rsidRPr="00510A11">
              <w:t xml:space="preserve"> исключением аппаратного обеспечения и системного ПО (операционные системы, СУБД), позволяющая провести соответствующий этап тестирования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4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bCs/>
              </w:rPr>
              <w:t>Настройка/доработка до полного соответствия бизнес и функциональным требованиям программного обеспечения</w:t>
            </w:r>
            <w:r w:rsidRPr="00510A11" w:rsidDel="00696537">
              <w:t xml:space="preserve"> 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proofErr w:type="gramStart"/>
            <w:r w:rsidRPr="00510A11">
              <w:t>Произведена доработка и настройка необходимых программных компонент внедряемого ПО, включая интеграционный слой,</w:t>
            </w:r>
            <w:r w:rsidRPr="00510A11" w:rsidDel="00696537">
              <w:t xml:space="preserve"> </w:t>
            </w:r>
            <w:r w:rsidRPr="00510A11">
              <w:t>до полного соответствия требованиям</w:t>
            </w:r>
            <w:proofErr w:type="gramEnd"/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5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Оформление технической документации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Разработаны, согласованы и переданы в Банк планы тестирования, методика ПСИ, протоколы тестирования, руководства администратора, разработчика и пользователей.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6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Обучение персонала Банка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Проведено обучение технологов, разработчиков, администраторов и пользователей системы в объеме, достаточном для эксплуатации системы.</w:t>
            </w:r>
          </w:p>
          <w:p w:rsidR="00160263" w:rsidRPr="00510A11" w:rsidRDefault="00160263" w:rsidP="00A37545">
            <w:pPr>
              <w:spacing w:after="0" w:line="240" w:lineRule="auto"/>
            </w:pPr>
            <w:r w:rsidRPr="00510A11">
              <w:t xml:space="preserve">Передан финальный вариант исходных кодов. Передана документация по исходным кодам и структурам </w:t>
            </w:r>
            <w:proofErr w:type="gramStart"/>
            <w:r w:rsidRPr="00510A11">
              <w:t>ПО</w:t>
            </w:r>
            <w:proofErr w:type="gramEnd"/>
            <w:r w:rsidRPr="00510A11">
              <w:t>.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7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Внутреннее функциональное и интеграционное тестирование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Проведено функциональное, интеграционное, приемочное, регрессионное тестирование. Предоставлены соответствующие протоколы и акты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8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Нагрузочное тестирование и тестирование отказоустойчивости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Проведено нагрузочное тестирование и тестирование отказоустойчивости. Предоставлены соответствующие протоколы и акты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9</w:t>
            </w:r>
          </w:p>
        </w:tc>
        <w:tc>
          <w:tcPr>
            <w:tcW w:w="3969" w:type="dxa"/>
          </w:tcPr>
          <w:p w:rsidR="00160263" w:rsidRPr="00510A11" w:rsidDel="00696537" w:rsidRDefault="00160263" w:rsidP="00A37545">
            <w:pPr>
              <w:spacing w:after="0" w:line="240" w:lineRule="auto"/>
            </w:pPr>
            <w:r w:rsidRPr="00510A11">
              <w:t>Демонстрация промежуточных прототипов Системы (при необходимости)</w:t>
            </w:r>
          </w:p>
        </w:tc>
        <w:tc>
          <w:tcPr>
            <w:tcW w:w="4788" w:type="dxa"/>
          </w:tcPr>
          <w:p w:rsidR="00160263" w:rsidRPr="00510A11" w:rsidDel="00696537" w:rsidRDefault="00160263" w:rsidP="00A37545">
            <w:pPr>
              <w:spacing w:after="0" w:line="240" w:lineRule="auto"/>
            </w:pPr>
            <w:r w:rsidRPr="00510A11">
              <w:t>Проведена демонстрация, зафиксированы новые требования и пожелания.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  <w:rPr>
                <w:sz w:val="22"/>
              </w:rPr>
            </w:pPr>
            <w:r w:rsidRPr="00510A11">
              <w:rPr>
                <w:sz w:val="22"/>
              </w:rPr>
              <w:lastRenderedPageBreak/>
              <w:t>10</w:t>
            </w:r>
          </w:p>
        </w:tc>
        <w:tc>
          <w:tcPr>
            <w:tcW w:w="396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Проведение приемо-сдаточных испытаний (ПСИ)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Проведено ПСИ согласно методике, предоставлены протоколы и акты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11</w:t>
            </w:r>
          </w:p>
        </w:tc>
        <w:tc>
          <w:tcPr>
            <w:tcW w:w="3969" w:type="dxa"/>
          </w:tcPr>
          <w:p w:rsidR="00160263" w:rsidRPr="00510A11" w:rsidDel="00696537" w:rsidRDefault="00160263" w:rsidP="00A37545">
            <w:pPr>
              <w:spacing w:after="0" w:line="240" w:lineRule="auto"/>
            </w:pPr>
            <w:r w:rsidRPr="00510A11">
              <w:t>Сопровождение, исправление ошибок и стабилизация решения на этапе опытно-промышленной эксплуатации (ОПЭ)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Исправлены обнаруженные ошибки и недочеты. Проведено обновление соответствующей технической и пользовательской документации</w:t>
            </w:r>
          </w:p>
        </w:tc>
      </w:tr>
      <w:tr w:rsidR="00160263" w:rsidRPr="00510A11" w:rsidTr="00A37545">
        <w:tc>
          <w:tcPr>
            <w:tcW w:w="599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rPr>
                <w:sz w:val="22"/>
              </w:rPr>
              <w:t>12</w:t>
            </w:r>
          </w:p>
        </w:tc>
        <w:tc>
          <w:tcPr>
            <w:tcW w:w="3969" w:type="dxa"/>
          </w:tcPr>
          <w:p w:rsidR="00160263" w:rsidRPr="00510A11" w:rsidDel="00696537" w:rsidRDefault="00160263" w:rsidP="00A37545">
            <w:pPr>
              <w:keepLines/>
              <w:spacing w:after="0" w:line="240" w:lineRule="auto"/>
            </w:pPr>
            <w:r w:rsidRPr="00510A11">
              <w:t xml:space="preserve">Прочие работы, необходимые для ввода в промышленную эксплуатацию внедряемой системы, в том числе, </w:t>
            </w:r>
            <w:r w:rsidRPr="00510A11">
              <w:rPr>
                <w:bCs/>
              </w:rPr>
              <w:t>корректировка справочников, настройка продуктов и услуг, работы по миграции данных и т.п.</w:t>
            </w:r>
          </w:p>
        </w:tc>
        <w:tc>
          <w:tcPr>
            <w:tcW w:w="4788" w:type="dxa"/>
          </w:tcPr>
          <w:p w:rsidR="00160263" w:rsidRPr="00510A11" w:rsidRDefault="00160263" w:rsidP="00A37545">
            <w:pPr>
              <w:spacing w:after="0" w:line="240" w:lineRule="auto"/>
            </w:pPr>
            <w:r w:rsidRPr="00510A11">
              <w:t>В соответствии со спецификой проводимых работ в объеме, достаточном для выполнения соответствующих бизнес и функциональных требований</w:t>
            </w:r>
          </w:p>
        </w:tc>
      </w:tr>
    </w:tbl>
    <w:p w:rsidR="00160263" w:rsidRPr="00510A11" w:rsidRDefault="00160263" w:rsidP="00160263">
      <w:pPr>
        <w:suppressAutoHyphens/>
        <w:spacing w:after="0" w:line="240" w:lineRule="auto"/>
        <w:jc w:val="both"/>
        <w:rPr>
          <w:b/>
        </w:rPr>
      </w:pPr>
    </w:p>
    <w:p w:rsidR="00160263" w:rsidRDefault="00160263" w:rsidP="000C5361">
      <w:pPr>
        <w:pStyle w:val="aff9"/>
        <w:numPr>
          <w:ilvl w:val="1"/>
          <w:numId w:val="18"/>
        </w:numPr>
        <w:ind w:hanging="720"/>
        <w:jc w:val="both"/>
      </w:pPr>
      <w:r w:rsidRPr="00510A11">
        <w:t>Результат каждого этапа должен быть документирован.</w:t>
      </w:r>
    </w:p>
    <w:p w:rsidR="00160263" w:rsidRPr="007B0E9D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6" w:name="_Toc384634893"/>
      <w:r w:rsidRPr="007B0E9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Платежные условия</w:t>
      </w:r>
      <w:bookmarkEnd w:id="166"/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contextualSpacing/>
        <w:jc w:val="both"/>
      </w:pPr>
      <w:r w:rsidRPr="007B0E9D">
        <w:t>Поставщик должен указать в КП стоимость в разбивке по этапам проекта со всеми применимыми налогами для всех компонент работ/услуг, необходимых для реализации проекта, в том числе: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 xml:space="preserve">Лицензии на </w:t>
      </w:r>
      <w:proofErr w:type="gramStart"/>
      <w:r w:rsidRPr="007B0E9D">
        <w:t>прикладное</w:t>
      </w:r>
      <w:proofErr w:type="gramEnd"/>
      <w:r w:rsidRPr="007B0E9D">
        <w:t xml:space="preserve"> ПО. 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>Работы по внедрению (включая разбивку по этапам).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 xml:space="preserve">Работы по </w:t>
      </w:r>
      <w:proofErr w:type="spellStart"/>
      <w:r w:rsidRPr="007B0E9D">
        <w:t>кастомизации</w:t>
      </w:r>
      <w:proofErr w:type="spellEnd"/>
      <w:r w:rsidRPr="007B0E9D">
        <w:t xml:space="preserve"> Продукта в соответствии с требованиями банка и интеграции  Продукта с системами банка.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>Обучение сотрудников Банка.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>Работы по тестированию (</w:t>
      </w:r>
      <w:proofErr w:type="gramStart"/>
      <w:r w:rsidRPr="007B0E9D">
        <w:t>функциональное</w:t>
      </w:r>
      <w:proofErr w:type="gramEnd"/>
      <w:r w:rsidRPr="007B0E9D">
        <w:t>, нагрузочное и отказоустойчивости), опытно-промышленной эксплуатации и ввода в Промышленную Эксплуатацию.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 xml:space="preserve">Требования к конфигурации оборудования и системного </w:t>
      </w:r>
      <w:proofErr w:type="gramStart"/>
      <w:r w:rsidRPr="007B0E9D">
        <w:t>ПО</w:t>
      </w:r>
      <w:proofErr w:type="gramEnd"/>
      <w:r w:rsidRPr="007B0E9D">
        <w:t xml:space="preserve">, </w:t>
      </w:r>
      <w:proofErr w:type="gramStart"/>
      <w:r w:rsidRPr="007B0E9D">
        <w:t>в</w:t>
      </w:r>
      <w:proofErr w:type="gramEnd"/>
      <w:r w:rsidRPr="007B0E9D">
        <w:t xml:space="preserve"> том числе сервера, системы хранения, каналам связи в соответствии с нефункциональными требованиями,  приведенными в Приложении №</w:t>
      </w:r>
      <w:r>
        <w:t>1 к ТЗ</w:t>
      </w:r>
      <w:r w:rsidRPr="007B0E9D">
        <w:t>.</w:t>
      </w:r>
    </w:p>
    <w:p w:rsidR="00160263" w:rsidRPr="007B0E9D" w:rsidRDefault="00160263" w:rsidP="000C5361">
      <w:pPr>
        <w:numPr>
          <w:ilvl w:val="2"/>
          <w:numId w:val="31"/>
        </w:numPr>
        <w:spacing w:after="0" w:line="240" w:lineRule="auto"/>
        <w:contextualSpacing/>
        <w:jc w:val="both"/>
      </w:pPr>
      <w:r w:rsidRPr="007B0E9D">
        <w:t>Другие необходимые для реализации проекта расходы.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>Затраты на командировки команды Поставщика при их необходимости должны входить в стоимость работ по умолчанию.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proofErr w:type="gramStart"/>
      <w:r w:rsidRPr="007B0E9D">
        <w:t xml:space="preserve">Поставка оборудования и системного программного обеспечения (OC, СУБД, системная платформа и т.д.), необходимого для реализации проекта не входит в рамки Коммерческого Предложения, однако поставщик должен указать необходимые параметры оборудования, системного ПО,  и его рыночную стоимость в соответствии с требованиями системы и нефункциональными требованиями Заказчика. </w:t>
      </w:r>
      <w:proofErr w:type="gramEnd"/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 xml:space="preserve">В случае, если </w:t>
      </w:r>
      <w:proofErr w:type="spellStart"/>
      <w:r w:rsidRPr="007B0E9D">
        <w:t>вендор</w:t>
      </w:r>
      <w:proofErr w:type="spellEnd"/>
      <w:r w:rsidRPr="007B0E9D">
        <w:t>/интегратор не указал в КП исчерпывающий список расходов или впоследствии существенно изменил оценки по стоимости</w:t>
      </w:r>
      <w:r>
        <w:t xml:space="preserve"> в сторону увеличения</w:t>
      </w:r>
      <w:r w:rsidRPr="007B0E9D">
        <w:t xml:space="preserve">, срокам и/или платежные условия, то итоги закупочной процедуры признаются </w:t>
      </w:r>
      <w:proofErr w:type="gramStart"/>
      <w:r w:rsidRPr="007B0E9D">
        <w:t>недействительными</w:t>
      </w:r>
      <w:proofErr w:type="gramEnd"/>
      <w:r w:rsidRPr="007B0E9D">
        <w:t>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 xml:space="preserve">В КП должна быть описана лицензионная политика поставщика, а также указаны возможные варианты изменения алгоритма лицензионного ценообразования. </w:t>
      </w:r>
      <w:proofErr w:type="gramStart"/>
      <w:r w:rsidRPr="007B0E9D">
        <w:t xml:space="preserve">Поставщик должен указать в КП: лицензионную политику, метод лицензирования,  стоимость разных типов лицензий на прикладное ПО и специфичное системное ПО,  необходимое для функционирования системы, а также все существующие лицензионные ограничения и условия. </w:t>
      </w:r>
      <w:proofErr w:type="gramEnd"/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lastRenderedPageBreak/>
        <w:t xml:space="preserve">Стоимость лицензий и оборудования должны быть указаны для двух вариантов нагрузочного профиля: </w:t>
      </w:r>
    </w:p>
    <w:p w:rsidR="00160263" w:rsidRPr="007B0E9D" w:rsidRDefault="00160263" w:rsidP="000C5361">
      <w:pPr>
        <w:numPr>
          <w:ilvl w:val="2"/>
          <w:numId w:val="31"/>
        </w:numPr>
        <w:suppressAutoHyphens/>
        <w:spacing w:after="0" w:line="240" w:lineRule="auto"/>
        <w:contextualSpacing/>
        <w:jc w:val="both"/>
      </w:pPr>
      <w:proofErr w:type="gramStart"/>
      <w:r w:rsidRPr="007B0E9D">
        <w:t>Полный</w:t>
      </w:r>
      <w:proofErr w:type="gramEnd"/>
      <w:r w:rsidRPr="007B0E9D">
        <w:t xml:space="preserve"> – количество пользователей соответствует всем заявленным нефункциональным требованиям.</w:t>
      </w:r>
    </w:p>
    <w:p w:rsidR="00160263" w:rsidRPr="007B0E9D" w:rsidRDefault="00160263" w:rsidP="000C5361">
      <w:pPr>
        <w:numPr>
          <w:ilvl w:val="2"/>
          <w:numId w:val="31"/>
        </w:numPr>
        <w:suppressAutoHyphens/>
        <w:spacing w:after="0" w:line="240" w:lineRule="auto"/>
        <w:contextualSpacing/>
        <w:jc w:val="both"/>
      </w:pPr>
      <w:proofErr w:type="gramStart"/>
      <w:r w:rsidRPr="007B0E9D">
        <w:t>Первоначальный</w:t>
      </w:r>
      <w:proofErr w:type="gramEnd"/>
      <w:r w:rsidRPr="007B0E9D">
        <w:t xml:space="preserve"> – количество пользователей соответствует половине из заявленных в нефункциональных требованиях.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>Стоимость указывается окончательная, со всеми применимыми налогами.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rPr>
          <w:bCs/>
        </w:rPr>
        <w:t>Валюта договора:</w:t>
      </w:r>
      <w:r w:rsidRPr="007B0E9D">
        <w:rPr>
          <w:b/>
          <w:bCs/>
        </w:rPr>
        <w:t xml:space="preserve"> </w:t>
      </w:r>
      <w:r w:rsidRPr="007B0E9D">
        <w:rPr>
          <w:bCs/>
        </w:rPr>
        <w:t>рубли.</w:t>
      </w:r>
    </w:p>
    <w:p w:rsidR="00160263" w:rsidRDefault="00160263" w:rsidP="000C5361">
      <w:pPr>
        <w:pStyle w:val="aff9"/>
        <w:numPr>
          <w:ilvl w:val="1"/>
          <w:numId w:val="31"/>
        </w:numPr>
        <w:suppressAutoHyphens/>
        <w:contextualSpacing/>
        <w:jc w:val="both"/>
      </w:pPr>
      <w:r w:rsidRPr="007B0E9D">
        <w:t>Поставщик должен заполнить итоговую таблицу с расчетом стоимости внедрения, годовой стоимости сопровождения и итоговой</w:t>
      </w:r>
      <w:r>
        <w:t xml:space="preserve"> стоимости владения системой до конца 2020 года</w:t>
      </w:r>
      <w:r w:rsidRPr="007B0E9D">
        <w:t>.</w:t>
      </w:r>
      <w:r>
        <w:t xml:space="preserve"> Образец таблицы:</w:t>
      </w:r>
    </w:p>
    <w:p w:rsidR="00160263" w:rsidRPr="0041682B" w:rsidRDefault="00160263" w:rsidP="00160263">
      <w:pPr>
        <w:suppressAutoHyphens/>
        <w:spacing w:after="0" w:line="240" w:lineRule="auto"/>
        <w:ind w:left="360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59"/>
        <w:gridCol w:w="1702"/>
        <w:gridCol w:w="751"/>
        <w:gridCol w:w="350"/>
        <w:gridCol w:w="404"/>
        <w:gridCol w:w="751"/>
        <w:gridCol w:w="752"/>
        <w:gridCol w:w="961"/>
        <w:gridCol w:w="1243"/>
      </w:tblGrid>
      <w:tr w:rsidR="00160263" w:rsidRPr="00044B62" w:rsidTr="00A37545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Оценка стоимость владения системой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Описание затрат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Тип затрат (CAPEX/OPEX)</w:t>
            </w:r>
          </w:p>
        </w:tc>
        <w:tc>
          <w:tcPr>
            <w:tcW w:w="5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14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Суммы, руб.</w:t>
            </w:r>
          </w:p>
        </w:tc>
      </w:tr>
      <w:tr w:rsidR="00160263" w:rsidRPr="00044B62" w:rsidTr="00A37545">
        <w:trPr>
          <w:trHeight w:val="615"/>
        </w:trPr>
        <w:tc>
          <w:tcPr>
            <w:tcW w:w="13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за все периоды: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приобретения лицензии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продления лицензии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внедрения решения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CAPEX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сопровождения лицензии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OPEX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00"/>
        </w:trPr>
        <w:tc>
          <w:tcPr>
            <w:tcW w:w="1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Стоимость сопровождения системы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OPEX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15"/>
        </w:trPr>
        <w:tc>
          <w:tcPr>
            <w:tcW w:w="1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…. (прочие расходы)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00"/>
        </w:trPr>
        <w:tc>
          <w:tcPr>
            <w:tcW w:w="22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CAPEX: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160263" w:rsidRPr="00044B62" w:rsidTr="00A37545">
        <w:trPr>
          <w:trHeight w:val="315"/>
        </w:trPr>
        <w:tc>
          <w:tcPr>
            <w:tcW w:w="22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Итого OPEX: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263" w:rsidRPr="00044B62" w:rsidRDefault="00160263" w:rsidP="00A3754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044B62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</w:tbl>
    <w:p w:rsidR="00160263" w:rsidRPr="0069523A" w:rsidRDefault="00160263" w:rsidP="00160263">
      <w:pPr>
        <w:suppressAutoHyphens/>
        <w:spacing w:after="0" w:line="240" w:lineRule="auto"/>
        <w:ind w:left="360"/>
        <w:jc w:val="both"/>
        <w:rPr>
          <w:lang w:val="en-US"/>
        </w:rPr>
      </w:pP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>Поставщик должен указать стоимость реализации каждого отдельного этапа.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7B0E9D">
        <w:t xml:space="preserve">Лицензии на </w:t>
      </w:r>
      <w:proofErr w:type="gramStart"/>
      <w:r w:rsidRPr="007B0E9D">
        <w:t>прикладное</w:t>
      </w:r>
      <w:proofErr w:type="gramEnd"/>
      <w:r w:rsidRPr="007B0E9D">
        <w:t xml:space="preserve"> ПО оплачиваются поэтапно, по завершении этапа (для каждого из этапов) - после подписания Акта о вводе этапа в ОПЭ.   На период ввода в ОПЭ Поставщик должен предоставить Банку временные лицензии без дополнительной оплаты. На период, предшествующий вводу в ОПЭ системы должна быть предоставлена временная, техническая (для использования только на тестовых данных), бесплатная лицензия. </w:t>
      </w:r>
    </w:p>
    <w:p w:rsidR="00160263" w:rsidRPr="007B0E9D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 w:rsidRPr="00FE2DFB">
        <w:t xml:space="preserve">100% </w:t>
      </w:r>
      <w:proofErr w:type="spellStart"/>
      <w:r w:rsidRPr="00FE2DFB">
        <w:t>постоплата</w:t>
      </w:r>
      <w:proofErr w:type="spellEnd"/>
      <w:r w:rsidRPr="00FE2DFB">
        <w:t xml:space="preserve"> </w:t>
      </w:r>
      <w:r w:rsidRPr="007B0E9D">
        <w:t>работ</w:t>
      </w:r>
      <w:r w:rsidRPr="00FE2DFB">
        <w:t xml:space="preserve"> </w:t>
      </w:r>
      <w:r>
        <w:t xml:space="preserve">по соответствующему этапу </w:t>
      </w:r>
      <w:r w:rsidRPr="00FE2DFB">
        <w:t>в приоритете. Участник вправе предложить свою схему оплаты, но не хуже следующих условий</w:t>
      </w:r>
      <w:r w:rsidRPr="007B0E9D">
        <w:t>:</w:t>
      </w:r>
    </w:p>
    <w:p w:rsidR="00160263" w:rsidRPr="007B0E9D" w:rsidRDefault="00160263" w:rsidP="00160263">
      <w:pPr>
        <w:suppressAutoHyphens/>
        <w:spacing w:after="0" w:line="240" w:lineRule="auto"/>
        <w:ind w:left="360" w:firstLine="349"/>
        <w:jc w:val="both"/>
      </w:pPr>
      <w:r w:rsidRPr="007B0E9D">
        <w:t xml:space="preserve">30% - аванс на работы по соответствующему этапу; </w:t>
      </w:r>
    </w:p>
    <w:p w:rsidR="00160263" w:rsidRPr="007B0E9D" w:rsidRDefault="00160263" w:rsidP="00160263">
      <w:pPr>
        <w:suppressAutoHyphens/>
        <w:spacing w:after="0" w:line="240" w:lineRule="auto"/>
        <w:ind w:left="360" w:firstLine="349"/>
        <w:jc w:val="both"/>
      </w:pPr>
      <w:r w:rsidRPr="007B0E9D">
        <w:t>40% - после подписания Акта о вводе в ОПЭ;</w:t>
      </w:r>
    </w:p>
    <w:p w:rsidR="00160263" w:rsidRPr="00647722" w:rsidRDefault="00160263" w:rsidP="00160263">
      <w:pPr>
        <w:suppressAutoHyphens/>
        <w:spacing w:after="0" w:line="240" w:lineRule="auto"/>
        <w:ind w:left="360" w:firstLine="349"/>
        <w:jc w:val="both"/>
      </w:pPr>
      <w:r w:rsidRPr="007B0E9D">
        <w:t>30% - после подписания Акта о вводе в ПЭ;</w:t>
      </w:r>
    </w:p>
    <w:p w:rsidR="00160263" w:rsidRDefault="00160263" w:rsidP="000C5361">
      <w:pPr>
        <w:numPr>
          <w:ilvl w:val="1"/>
          <w:numId w:val="31"/>
        </w:numPr>
        <w:suppressAutoHyphens/>
        <w:spacing w:after="0" w:line="240" w:lineRule="auto"/>
        <w:jc w:val="both"/>
      </w:pPr>
      <w:r>
        <w:t>Внедрение СПР начинается в 2016 году. При этом оплата и прием Банком лицензий начинается с 2017 года.</w:t>
      </w:r>
    </w:p>
    <w:p w:rsidR="00160263" w:rsidRPr="007B0E9D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7" w:name="_Toc384634894"/>
      <w:r w:rsidRPr="007B0E9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Срок исполнения обязательств Поставщика</w:t>
      </w:r>
      <w:bookmarkEnd w:id="167"/>
    </w:p>
    <w:p w:rsidR="00160263" w:rsidRPr="007B0E9D" w:rsidRDefault="00160263" w:rsidP="000C5361">
      <w:pPr>
        <w:numPr>
          <w:ilvl w:val="1"/>
          <w:numId w:val="36"/>
        </w:numPr>
        <w:suppressAutoHyphens/>
        <w:spacing w:after="0" w:line="240" w:lineRule="auto"/>
        <w:jc w:val="both"/>
      </w:pPr>
      <w:r w:rsidRPr="007B0E9D">
        <w:t xml:space="preserve">Поставщик должен включить в КП </w:t>
      </w:r>
      <w:proofErr w:type="spellStart"/>
      <w:r w:rsidRPr="007B0E9D">
        <w:t>верхнеуровневый</w:t>
      </w:r>
      <w:proofErr w:type="spellEnd"/>
      <w:r w:rsidRPr="007B0E9D">
        <w:t xml:space="preserve"> план-график работ проекта.</w:t>
      </w:r>
    </w:p>
    <w:p w:rsidR="00160263" w:rsidRPr="007B0E9D" w:rsidRDefault="00160263" w:rsidP="000C5361">
      <w:pPr>
        <w:numPr>
          <w:ilvl w:val="1"/>
          <w:numId w:val="36"/>
        </w:numPr>
        <w:spacing w:after="0" w:line="240" w:lineRule="auto"/>
      </w:pPr>
      <w:r w:rsidRPr="007B0E9D">
        <w:lastRenderedPageBreak/>
        <w:t>В случае сдвига согласованных сроков по вине Поставщика, Банк имеет право на получение компенсации в размере 0,3% от стоимости этапа за каждый день просрочки, но не более 25% от стоимости этапа.</w:t>
      </w:r>
    </w:p>
    <w:p w:rsidR="00160263" w:rsidRDefault="00160263" w:rsidP="00160263">
      <w:pPr>
        <w:spacing w:after="0" w:line="240" w:lineRule="auto"/>
        <w:ind w:left="360"/>
      </w:pPr>
      <w:r>
        <w:t>Перевод СПР в ОПЭ – 04.2017</w:t>
      </w:r>
    </w:p>
    <w:p w:rsidR="00160263" w:rsidRPr="007B0E9D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8" w:name="_Toc384634895"/>
      <w:r w:rsidRPr="007B0E9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Гарантийные обязательства Поставщика</w:t>
      </w:r>
      <w:bookmarkEnd w:id="168"/>
    </w:p>
    <w:p w:rsidR="00160263" w:rsidRPr="007B0E9D" w:rsidRDefault="00160263" w:rsidP="000C5361">
      <w:pPr>
        <w:numPr>
          <w:ilvl w:val="1"/>
          <w:numId w:val="37"/>
        </w:numPr>
        <w:suppressAutoHyphens/>
        <w:spacing w:after="0" w:line="240" w:lineRule="auto"/>
        <w:contextualSpacing/>
        <w:jc w:val="both"/>
      </w:pPr>
      <w:r w:rsidRPr="007B0E9D">
        <w:t>В КП должны быть указаны гарантийные обязательства Поставщика применительно к внедренным компонентам Системы и выполненным доработкам и настройкам компонентов в соответствии с требованиями Банка.</w:t>
      </w:r>
    </w:p>
    <w:p w:rsidR="00160263" w:rsidRPr="007B0E9D" w:rsidRDefault="00160263" w:rsidP="000C5361">
      <w:pPr>
        <w:numPr>
          <w:ilvl w:val="1"/>
          <w:numId w:val="37"/>
        </w:numPr>
        <w:suppressAutoHyphens/>
        <w:spacing w:after="0" w:line="240" w:lineRule="auto"/>
        <w:contextualSpacing/>
        <w:jc w:val="both"/>
      </w:pPr>
      <w:r w:rsidRPr="007B0E9D">
        <w:t xml:space="preserve"> Гарантийные обязательства применительно к каждому этапу проекта должны действовать 1 год с момента ввода в </w:t>
      </w:r>
      <w:r>
        <w:t>Промышленную Эксплуатацию</w:t>
      </w:r>
      <w:r w:rsidRPr="007B0E9D">
        <w:t>.</w:t>
      </w:r>
    </w:p>
    <w:p w:rsidR="00160263" w:rsidRPr="007B0E9D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69" w:name="_Toc384634896"/>
      <w:r w:rsidRPr="007B0E9D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Требования к послепродажному обслуживанию</w:t>
      </w:r>
      <w:bookmarkEnd w:id="169"/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D85FD7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</w:rPr>
      </w:pP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Поставщик должен представить в КП проект договора на сопровождение Системы (третья линия поддержки), указать условия в соответствии с указанными ниже требованиями банка, а именно: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Состав работ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Сроки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Период поддержки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Стоимость и условия SLA в соответствии с требования банка</w:t>
      </w:r>
    </w:p>
    <w:p w:rsidR="00160263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Поддержка должна осуществляться в режиме 24*7.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>
        <w:t>Система должна обеспечивать режим функционирования 24*7.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 xml:space="preserve">Стоимость сопровождения </w:t>
      </w:r>
      <w:r>
        <w:t xml:space="preserve">лицензий </w:t>
      </w:r>
      <w:r w:rsidRPr="007C4ACC">
        <w:t>должна включать следующие параметры: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Сопровождение лицензий (предоставление регулярных обновлений ядра системы и устранение ошибок ядра).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Сопровождение Системы с учётом выполненных доработок и </w:t>
      </w:r>
      <w:proofErr w:type="spellStart"/>
      <w:r w:rsidRPr="007C4ACC">
        <w:t>кастомизации</w:t>
      </w:r>
      <w:proofErr w:type="spellEnd"/>
      <w:r w:rsidRPr="007C4ACC">
        <w:t xml:space="preserve"> Системы в соответствии с требованиями Банка (устранение ошибок, обеспечение соответствия новым версиям ядра).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Обновления Системы, в том числе связанные с требованиями регуляторов и законодательства РФ.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Разрешение инцидентов и проблем.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Обработка нештатных ситуаций.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Проект Договора сопровождения должен включать: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Стоимость, условия и максимальный объём доработок в рамках сопровождения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Условия и ставки по дополнительным доработкам/развитию Системы. Договор сопровождения должен включать условия оказания услуг по доработкам системы и включать ставки специалистов, которых будет необходимо привлекать к работам для реализации доработок, ставки специалистов фиксируются на время действия договора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Порядок внесения и синхронизации изменений в Систему, как Поставщиком, так и Банком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Требуемый срок действия договора Сопровождения – 1 год с возможной пролонгацией. Поставщик должен указать принципы ценообразования  договоров на сопровождение. Стоимость указывается со всеми применимыми налогами</w:t>
      </w:r>
      <w:r>
        <w:t xml:space="preserve"> на 5 лет</w:t>
      </w:r>
      <w:r w:rsidRPr="007C4ACC">
        <w:t xml:space="preserve">. </w:t>
      </w:r>
    </w:p>
    <w:p w:rsidR="00160263" w:rsidRPr="007C4ACC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70" w:name="_Toc384634897"/>
      <w:r w:rsidRPr="007C4ACC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lastRenderedPageBreak/>
        <w:t>Требования к поставке</w:t>
      </w:r>
      <w:bookmarkEnd w:id="170"/>
    </w:p>
    <w:p w:rsidR="00160263" w:rsidRPr="007C4ACC" w:rsidRDefault="00160263" w:rsidP="000C5361">
      <w:pPr>
        <w:pStyle w:val="aff9"/>
        <w:numPr>
          <w:ilvl w:val="0"/>
          <w:numId w:val="32"/>
        </w:numPr>
        <w:spacing w:after="200"/>
        <w:contextualSpacing/>
        <w:jc w:val="both"/>
        <w:rPr>
          <w:vanish/>
          <w:highlight w:val="yellow"/>
        </w:rPr>
      </w:pP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 xml:space="preserve">Программно-аппаратный комплекс до сдачи в опытно-промышленную эксплуатацию должен быть обеспечен всей необходимой, в том числе, </w:t>
      </w:r>
      <w:proofErr w:type="gramStart"/>
      <w:r w:rsidRPr="007C4ACC">
        <w:t>но</w:t>
      </w:r>
      <w:proofErr w:type="gramEnd"/>
      <w:r w:rsidRPr="007C4ACC">
        <w:t xml:space="preserve"> не ограничиваясь, следующей документацией на русском языке: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>Техническое задание на доработку, включающее архитектуру и описание базового функционала системы. Может быть представлено в виде отдельных документов, в составе: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Общая спецификация на создаваемый/изменяемый процесс. Спецификация в обязательном порядке включает в себя описание процесса, его схему, используемые сервисы и точки их вызова, описание обеспечения </w:t>
      </w:r>
      <w:proofErr w:type="spellStart"/>
      <w:r w:rsidRPr="007C4ACC">
        <w:t>транзакционности</w:t>
      </w:r>
      <w:proofErr w:type="spellEnd"/>
      <w:r w:rsidRPr="007C4ACC">
        <w:t xml:space="preserve"> (при наличии таковой), специфические особенности вызовов сервисов в зависимости от конкретного процесса (при наличии таковых), описание или скриншоты пользовательских интерфейсов.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Спецификации взаимодействия с интегрируемыми системами. В том числе – описание форматов и протоколов интеграции внедряемой системы с другими ИС, структуры передаваемых данных, </w:t>
      </w:r>
      <w:proofErr w:type="spellStart"/>
      <w:r w:rsidRPr="007C4ACC">
        <w:t>xsd</w:t>
      </w:r>
      <w:proofErr w:type="spellEnd"/>
      <w:r w:rsidRPr="007C4ACC">
        <w:t>-схемы, описание точек мониторинга состояния интеграционных процессов для возможности контроля работоспособности интеграционного взаимодействия системы с внешними системами.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Спецификации на миграцию данных. Спецификация включает в себя описание принципов миграции, описание структур данных, </w:t>
      </w:r>
      <w:proofErr w:type="spellStart"/>
      <w:r w:rsidRPr="007C4ACC">
        <w:t>маппинг</w:t>
      </w:r>
      <w:proofErr w:type="spellEnd"/>
      <w:r w:rsidRPr="007C4ACC">
        <w:t xml:space="preserve"> полей, описание справочников и их источников, контрольные показатели и критерии успешности миграции.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 xml:space="preserve">Планы тестирования и </w:t>
      </w:r>
      <w:proofErr w:type="gramStart"/>
      <w:r w:rsidRPr="007C4ACC">
        <w:t>тест-кейсы</w:t>
      </w:r>
      <w:proofErr w:type="gramEnd"/>
      <w:r w:rsidRPr="007C4ACC">
        <w:t>: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Функциональное тестирование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Интеграционное тестирование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Нагрузочное тестирование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Тестирование отказоустойчивости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Тестирование на соответствие требованиям безопасности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 xml:space="preserve">Методика проведения приемо-сдаточных испытаний (ПСИ) 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>Протоколы тестирований (внутреннего, интеграционного, ПСИ),  содержащие результаты тестирования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>Руководства пользователей в разрезе разных ролей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>Руководство администратора (системного и прикладного уровней)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 xml:space="preserve">Руководство разработчика, включающее: 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Описание алгоритмов продукта, его модулей и библиотечных функций.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Описание структуры объектов Базы Данных, 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Ведомость программных модулей и библиотек с указанием их назначения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 xml:space="preserve">Ведомость списка программных объектов и функций с указанием их назначения 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Исходные коды и пояснительная записка к  ним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Исполняемые коды продукта.</w:t>
      </w:r>
    </w:p>
    <w:p w:rsidR="00160263" w:rsidRPr="007C4ACC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t xml:space="preserve">Все новые поставки версии системы также должны содержать обновление всех документов (при необходимости) а также: 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Паспорт релиза (Описание изменений, включенных в релиз).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Паспорт конфигурации системы (Актуальные настройки системы, обеспечивающие функционирование релиза).</w:t>
      </w:r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proofErr w:type="gramStart"/>
      <w:r w:rsidRPr="007C4ACC">
        <w:t>Инструкцию по инсталляции (последовательность действий по установке релиза.</w:t>
      </w:r>
      <w:proofErr w:type="gramEnd"/>
    </w:p>
    <w:p w:rsidR="00160263" w:rsidRPr="007C4ACC" w:rsidRDefault="00160263" w:rsidP="000C5361">
      <w:pPr>
        <w:numPr>
          <w:ilvl w:val="0"/>
          <w:numId w:val="27"/>
        </w:numPr>
        <w:suppressAutoHyphens/>
        <w:spacing w:after="0" w:line="240" w:lineRule="auto"/>
        <w:ind w:left="851" w:firstLine="0"/>
        <w:jc w:val="both"/>
      </w:pPr>
      <w:r w:rsidRPr="007C4ACC">
        <w:t>Инструкцию и план по откату релиза.</w:t>
      </w:r>
    </w:p>
    <w:p w:rsidR="00160263" w:rsidRDefault="00160263" w:rsidP="000C5361">
      <w:pPr>
        <w:numPr>
          <w:ilvl w:val="2"/>
          <w:numId w:val="32"/>
        </w:numPr>
        <w:spacing w:line="240" w:lineRule="auto"/>
        <w:contextualSpacing/>
        <w:jc w:val="both"/>
      </w:pPr>
      <w:r w:rsidRPr="007C4ACC">
        <w:lastRenderedPageBreak/>
        <w:t>Все результаты работ по проекту должны являться собственностью Банка.</w:t>
      </w:r>
    </w:p>
    <w:p w:rsidR="00160263" w:rsidRPr="007C4ACC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71" w:name="_Toc384634898"/>
      <w:r w:rsidRPr="007C4ACC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Требования к Обучению в рамках проекта:</w:t>
      </w:r>
      <w:bookmarkEnd w:id="171"/>
    </w:p>
    <w:p w:rsidR="00160263" w:rsidRPr="007C4ACC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  <w:highlight w:val="yellow"/>
        </w:rPr>
      </w:pP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Банк предъявляет требования к обучению по результатам внедрения всех этапов проекта.  Обучение должно проводиться по группам сотрудников, в соответствии с  функционалом каждой группы. Необходимо предоставить индивидуальные программы обучения для каждой группы. Предложение по разбиению сотрудников по функциональным группам: разработчики, администраторы СУБД, администраторы поддержки, однако, может быть дополнено поставщиком по его усмотрению: пользователи системы по ролям, разработчики отчётов, технологи, прикладные администраторы.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Стоимость обучения должна быть включена в работы по внедрению системы.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Целесообразность очного обучения определяется в процессе внедрения. Количество обучающихся в группе до 20 человек, может проводиться один цикл обучения на каждом этапе.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По результатам обучения должен быть проведён тест на уровень освоения материала.</w:t>
      </w:r>
    </w:p>
    <w:p w:rsidR="00160263" w:rsidRPr="007C4ACC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72" w:name="_Toc384634899"/>
      <w:r w:rsidRPr="007C4ACC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Квалификация Поставщика</w:t>
      </w:r>
      <w:bookmarkEnd w:id="172"/>
    </w:p>
    <w:p w:rsidR="00160263" w:rsidRPr="007C4ACC" w:rsidRDefault="00160263" w:rsidP="000C5361">
      <w:pPr>
        <w:pStyle w:val="aff9"/>
        <w:numPr>
          <w:ilvl w:val="0"/>
          <w:numId w:val="32"/>
        </w:numPr>
        <w:suppressAutoHyphens/>
        <w:contextualSpacing/>
        <w:jc w:val="both"/>
        <w:rPr>
          <w:vanish/>
          <w:highlight w:val="yellow"/>
        </w:rPr>
      </w:pPr>
    </w:p>
    <w:p w:rsidR="00160263" w:rsidRPr="00CE50B8" w:rsidRDefault="00160263" w:rsidP="000C5361">
      <w:pPr>
        <w:pStyle w:val="aff9"/>
        <w:numPr>
          <w:ilvl w:val="1"/>
          <w:numId w:val="32"/>
        </w:numPr>
        <w:suppressAutoHyphens/>
        <w:jc w:val="both"/>
        <w:rPr>
          <w:sz w:val="22"/>
        </w:rPr>
      </w:pPr>
      <w:proofErr w:type="gramStart"/>
      <w:r w:rsidRPr="00226A35">
        <w:t xml:space="preserve">Участник должен иметь доказанный опыт </w:t>
      </w:r>
      <w:r w:rsidRPr="007C4ACC">
        <w:t>внедрения систем принятия решений в Банках России и/или СНГ с клиентской базой  более одного миллиона клиентов</w:t>
      </w:r>
      <w:r w:rsidRPr="00226A35">
        <w:t xml:space="preserve"> за последние </w:t>
      </w:r>
      <w:r>
        <w:t>5</w:t>
      </w:r>
      <w:r w:rsidRPr="00226A35">
        <w:t xml:space="preserve"> </w:t>
      </w:r>
      <w:r>
        <w:t>лет</w:t>
      </w:r>
      <w:r w:rsidRPr="00226A35">
        <w:t xml:space="preserve">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226A35">
        <w:t>mail</w:t>
      </w:r>
      <w:proofErr w:type="spellEnd"/>
      <w:r w:rsidRPr="00226A35">
        <w:t xml:space="preserve"> представителя клиента, отзывы заказчиков – копии, заверенные руководителем организации).</w:t>
      </w:r>
      <w:proofErr w:type="gramEnd"/>
      <w:r w:rsidRPr="00226A35">
        <w:t xml:space="preserve">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>Поставщик должен указать структуру существующей команды по направлению, в разрезе сотрудников занятых на разработке, внедрении и поддержке.</w:t>
      </w:r>
    </w:p>
    <w:p w:rsidR="00160263" w:rsidRPr="007C4ACC" w:rsidRDefault="00160263" w:rsidP="000C536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</w:pPr>
      <w:r w:rsidRPr="007C4ACC">
        <w:t xml:space="preserve">При необходимости, до заключения договора Поставщик должен организовать </w:t>
      </w:r>
      <w:proofErr w:type="spellStart"/>
      <w:r w:rsidRPr="007C4ACC">
        <w:t>референс</w:t>
      </w:r>
      <w:proofErr w:type="spellEnd"/>
      <w:r w:rsidRPr="007C4ACC">
        <w:t xml:space="preserve"> визит в компанию финансового сектора</w:t>
      </w:r>
      <w:r>
        <w:t>,</w:t>
      </w:r>
      <w:r w:rsidRPr="007C4ACC">
        <w:t xml:space="preserve"> в которой Поставщиком был успешно завершен аналогичный проект.</w:t>
      </w:r>
    </w:p>
    <w:p w:rsidR="00160263" w:rsidRPr="007C4ACC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73" w:name="_Toc384634900"/>
      <w:r w:rsidRPr="007C4ACC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Требования к организации выполнения работ</w:t>
      </w:r>
      <w:bookmarkEnd w:id="173"/>
    </w:p>
    <w:p w:rsidR="00160263" w:rsidRPr="007C4ACC" w:rsidRDefault="00160263" w:rsidP="000C5361">
      <w:pPr>
        <w:pStyle w:val="aff9"/>
        <w:numPr>
          <w:ilvl w:val="0"/>
          <w:numId w:val="32"/>
        </w:numPr>
        <w:spacing w:after="200"/>
        <w:contextualSpacing/>
        <w:jc w:val="both"/>
        <w:rPr>
          <w:vanish/>
          <w:highlight w:val="yellow"/>
        </w:rPr>
      </w:pP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Поставщик должен включить в КП предложения по организации выполнения работ в рамках проекта в соответствии с указанными ниже требованиями.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Банк предполагает ответственность Поставщика за результаты проекта в целом. При этом</w:t>
      </w:r>
      <w:proofErr w:type="gramStart"/>
      <w:r w:rsidRPr="007C4ACC">
        <w:t>,</w:t>
      </w:r>
      <w:proofErr w:type="gramEnd"/>
      <w:r w:rsidRPr="007C4ACC">
        <w:t xml:space="preserve"> в рамках реализации проекта, по согласованию с Банком Поставщик может привлекать третьих лиц при условии сохранения ответственности за результаты проекта в целом.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Предполагается единая проектная команда с разбивкой по рабочим группам. Проектную команду по внедрению должен возглавлять Руководитель проекта со стороны Поставщика. Рабочие группы также возглавляют представители Поставщика и включают экспертов и исполнителей от Поставщика и Заказчика.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 xml:space="preserve"> Проектная команда должна иметь чёткий план коммуникаций внутри команды, с сотрудниками Банка, с третьими лицами. 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В рамках проекта Поставщик должен обеспечить необходимые процедуры и контроль качества.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lastRenderedPageBreak/>
        <w:t>В рамках проекта Поставщик должен на регулярной основе предоставлять в Банк отчетность по статусу выполнения проекта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Банк планирует выделение необходимых ресурсов для содействия Поставщику в процессе реализации проекта. План по привлечению сотрудников Банка (частичного или полного) к выполнению проекта по внедрению программно-аппаратного комплекса также должен быть предоставлен Поставщиком.</w:t>
      </w:r>
    </w:p>
    <w:p w:rsidR="00160263" w:rsidRPr="007C4ACC" w:rsidRDefault="00160263" w:rsidP="000C5361">
      <w:pPr>
        <w:pStyle w:val="111"/>
        <w:pageBreakBefore w:val="0"/>
        <w:numPr>
          <w:ilvl w:val="0"/>
          <w:numId w:val="18"/>
        </w:numPr>
        <w:spacing w:before="360" w:after="120"/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</w:pPr>
      <w:bookmarkStart w:id="174" w:name="_Toc384634901"/>
      <w:r w:rsidRPr="007C4ACC">
        <w:rPr>
          <w:rFonts w:ascii="Times New Roman" w:eastAsia="Times New Roman" w:hAnsi="Times New Roman"/>
          <w:bCs w:val="0"/>
          <w:kern w:val="0"/>
          <w:sz w:val="24"/>
          <w:szCs w:val="22"/>
          <w:lang w:eastAsia="en-US"/>
        </w:rPr>
        <w:t>Требования к проектной команде Поставщика</w:t>
      </w:r>
      <w:bookmarkEnd w:id="174"/>
    </w:p>
    <w:p w:rsidR="00160263" w:rsidRPr="007C4ACC" w:rsidRDefault="00160263" w:rsidP="000C5361">
      <w:pPr>
        <w:pStyle w:val="aff9"/>
        <w:numPr>
          <w:ilvl w:val="0"/>
          <w:numId w:val="32"/>
        </w:numPr>
        <w:spacing w:after="200"/>
        <w:contextualSpacing/>
        <w:jc w:val="both"/>
        <w:rPr>
          <w:vanish/>
          <w:highlight w:val="yellow"/>
        </w:rPr>
      </w:pP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 xml:space="preserve">Со стороны Поставщика необходимо выделение неконкурирующих команд на работы по разным Этапам, если в целях соблюдения целевых сроков, требуется параллельное выполнение. 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В КП Поставщик должен указать требования к проектной команде Банка:  квалификация, количество сотрудников с указанием роли и функционала в рамках проекта в разбивке по этапам проекта.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 xml:space="preserve"> Поставщик указывает структуру и численный состав команды внедрения, в том числе, отдельно – на территории Заказчика и отдельно - централизованная команда. Дает  разбивку команды внедрения по этапам проекта. Дает краткое резюме членов команды внедрения. Размер команды внедрения должен составлять не менее 10 человек.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 xml:space="preserve">Команда проекта со стороны Поставщика должна владеть всеми необходимыми лицензиями, регламентами и правилами в части планирования, выполнения и контроля работ. 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В составе команды Поставщика должно быть не менее 7</w:t>
      </w:r>
      <w:r>
        <w:t>0</w:t>
      </w:r>
      <w:r w:rsidRPr="007C4ACC">
        <w:t>% специалистов</w:t>
      </w:r>
      <w:r>
        <w:t>,</w:t>
      </w:r>
      <w:r w:rsidRPr="007C4ACC">
        <w:t xml:space="preserve"> имеющих опыт внедрения аналогичных </w:t>
      </w:r>
      <w:r>
        <w:t xml:space="preserve">реализованных </w:t>
      </w:r>
      <w:r w:rsidRPr="007C4ACC">
        <w:t xml:space="preserve">решений. 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Проектная команда со стороны Поставщика должна участвовать в ходе проекта на территории Банка, при этом централизованная команда разработки может находиться на территории Поставщика.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Поставщик в рамках КП предоставляет описание требований к рабочим местам и их количеству на территории Банка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Проектная команда Поставщика должна соблюдать требования и условия работы, принятые в Банке.</w:t>
      </w:r>
    </w:p>
    <w:p w:rsidR="00160263" w:rsidRPr="007C4ACC" w:rsidRDefault="00160263" w:rsidP="000C5361">
      <w:pPr>
        <w:numPr>
          <w:ilvl w:val="1"/>
          <w:numId w:val="32"/>
        </w:numPr>
        <w:spacing w:line="240" w:lineRule="auto"/>
        <w:contextualSpacing/>
        <w:jc w:val="both"/>
      </w:pPr>
      <w:r w:rsidRPr="007C4ACC">
        <w:t>Необходимо наличие единого контактного лица по организационным вопросам – Руководитель проекта, а также выделенный куратор проекта со стороны Поставщика (желательно высшее исполнительное должностное лицо Поставщика)</w:t>
      </w:r>
      <w:r>
        <w:t>.</w:t>
      </w: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Pr="00160263" w:rsidRDefault="00160263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0263" w:rsidRDefault="00160263" w:rsidP="00160263">
      <w:pPr>
        <w:suppressAutoHyphens/>
        <w:spacing w:after="0" w:line="240" w:lineRule="auto"/>
        <w:jc w:val="right"/>
        <w:rPr>
          <w:b/>
          <w:sz w:val="22"/>
        </w:rPr>
      </w:pPr>
      <w:r>
        <w:rPr>
          <w:b/>
          <w:sz w:val="22"/>
        </w:rPr>
        <w:lastRenderedPageBreak/>
        <w:t>Приложение №1 к Техническому заданию</w:t>
      </w:r>
    </w:p>
    <w:p w:rsidR="00160263" w:rsidRDefault="00160263" w:rsidP="00160263">
      <w:pPr>
        <w:suppressAutoHyphens/>
        <w:spacing w:after="0" w:line="240" w:lineRule="auto"/>
        <w:jc w:val="right"/>
        <w:rPr>
          <w:b/>
          <w:sz w:val="22"/>
        </w:rPr>
      </w:pPr>
    </w:p>
    <w:p w:rsidR="00160263" w:rsidRDefault="00160263" w:rsidP="00160263">
      <w:pPr>
        <w:spacing w:after="0" w:line="240" w:lineRule="auto"/>
        <w:ind w:left="360"/>
        <w:rPr>
          <w:b/>
          <w:szCs w:val="24"/>
        </w:rPr>
      </w:pPr>
      <w:r>
        <w:rPr>
          <w:b/>
          <w:szCs w:val="24"/>
        </w:rPr>
        <w:t>Функциональные и нефункциональные требования</w:t>
      </w:r>
      <w:r w:rsidRPr="00A266FB">
        <w:rPr>
          <w:b/>
          <w:szCs w:val="24"/>
        </w:rPr>
        <w:t xml:space="preserve"> к системе принятия кредитного решения:</w:t>
      </w:r>
    </w:p>
    <w:p w:rsidR="00160263" w:rsidRDefault="00160263" w:rsidP="00160263">
      <w:pPr>
        <w:spacing w:after="0" w:line="240" w:lineRule="auto"/>
        <w:ind w:left="360"/>
        <w:rPr>
          <w:b/>
          <w:szCs w:val="24"/>
        </w:rPr>
      </w:pPr>
    </w:p>
    <w:p w:rsidR="00160263" w:rsidRDefault="00160263" w:rsidP="00160263">
      <w:pPr>
        <w:spacing w:after="0" w:line="240" w:lineRule="auto"/>
        <w:rPr>
          <w:b/>
          <w:szCs w:val="24"/>
        </w:rPr>
      </w:pPr>
    </w:p>
    <w:bookmarkStart w:id="175" w:name="_MON_1532441850"/>
    <w:bookmarkEnd w:id="175"/>
    <w:p w:rsidR="00160263" w:rsidRDefault="00160263" w:rsidP="0016026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object w:dxaOrig="1531" w:dyaOrig="1002">
          <v:shape id="_x0000_i1025" type="#_x0000_t75" style="width:76.1pt;height:50.25pt" o:ole="">
            <v:imagedata r:id="rId23" o:title=""/>
          </v:shape>
          <o:OLEObject Type="Embed" ProgID="Word.Document.12" ShapeID="_x0000_i1025" DrawAspect="Icon" ObjectID="_1532767809" r:id="rId24">
            <o:FieldCodes>\s</o:FieldCodes>
          </o:OLEObject>
        </w:object>
      </w:r>
    </w:p>
    <w:p w:rsidR="00160263" w:rsidRDefault="00160263" w:rsidP="00160263">
      <w:pPr>
        <w:spacing w:after="0" w:line="240" w:lineRule="auto"/>
        <w:ind w:left="360"/>
        <w:rPr>
          <w:b/>
          <w:szCs w:val="24"/>
        </w:rPr>
      </w:pPr>
    </w:p>
    <w:p w:rsidR="00160263" w:rsidRPr="00BA2B38" w:rsidRDefault="00160263" w:rsidP="00160263">
      <w:pPr>
        <w:tabs>
          <w:tab w:val="left" w:pos="8820"/>
        </w:tabs>
        <w:spacing w:after="0" w:line="240" w:lineRule="auto"/>
        <w:jc w:val="center"/>
        <w:rPr>
          <w:b/>
          <w:lang w:val="en-US"/>
        </w:rPr>
      </w:pPr>
    </w:p>
    <w:p w:rsidR="00160263" w:rsidRPr="00160263" w:rsidRDefault="00160263" w:rsidP="00A1508E">
      <w:pPr>
        <w:pStyle w:val="m4"/>
        <w:rPr>
          <w:b/>
          <w:lang w:val="en-US"/>
        </w:rPr>
      </w:pPr>
    </w:p>
    <w:sectPr w:rsidR="00160263" w:rsidRPr="00160263" w:rsidSect="0069638D">
      <w:footerReference w:type="even" r:id="rId25"/>
      <w:footerReference w:type="default" r:id="rId26"/>
      <w:headerReference w:type="first" r:id="rId27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8A" w:rsidRDefault="0097788A" w:rsidP="00D86182">
      <w:pPr>
        <w:spacing w:after="0" w:line="240" w:lineRule="auto"/>
      </w:pPr>
      <w:r>
        <w:separator/>
      </w:r>
    </w:p>
  </w:endnote>
  <w:endnote w:type="continuationSeparator" w:id="0">
    <w:p w:rsidR="0097788A" w:rsidRDefault="0097788A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8A" w:rsidRDefault="0097788A" w:rsidP="002012E1">
    <w:pPr>
      <w:pStyle w:val="ab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end"/>
    </w:r>
  </w:p>
  <w:p w:rsidR="0097788A" w:rsidRDefault="0097788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8A" w:rsidRDefault="0097788A" w:rsidP="002012E1">
    <w:pPr>
      <w:pStyle w:val="ab"/>
      <w:framePr w:wrap="around" w:vAnchor="text" w:hAnchor="margin" w:xAlign="right" w:y="1"/>
      <w:rPr>
        <w:rStyle w:val="affd"/>
      </w:rPr>
    </w:pPr>
    <w:r>
      <w:rPr>
        <w:rStyle w:val="affd"/>
      </w:rPr>
      <w:fldChar w:fldCharType="begin"/>
    </w:r>
    <w:r>
      <w:rPr>
        <w:rStyle w:val="affd"/>
      </w:rPr>
      <w:instrText xml:space="preserve">PAGE  </w:instrText>
    </w:r>
    <w:r>
      <w:rPr>
        <w:rStyle w:val="affd"/>
      </w:rPr>
      <w:fldChar w:fldCharType="separate"/>
    </w:r>
    <w:r w:rsidR="000601A4">
      <w:rPr>
        <w:rStyle w:val="affd"/>
        <w:noProof/>
      </w:rPr>
      <w:t>28</w:t>
    </w:r>
    <w:r>
      <w:rPr>
        <w:rStyle w:val="affd"/>
      </w:rPr>
      <w:fldChar w:fldCharType="end"/>
    </w:r>
  </w:p>
  <w:p w:rsidR="0097788A" w:rsidRDefault="0097788A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8A" w:rsidRDefault="0097788A" w:rsidP="00D86182">
      <w:pPr>
        <w:spacing w:after="0" w:line="240" w:lineRule="auto"/>
      </w:pPr>
      <w:r>
        <w:separator/>
      </w:r>
    </w:p>
  </w:footnote>
  <w:footnote w:type="continuationSeparator" w:id="0">
    <w:p w:rsidR="0097788A" w:rsidRDefault="0097788A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97788A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7788A" w:rsidRPr="00011453" w:rsidRDefault="0097788A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7788A" w:rsidRDefault="0097788A">
          <w:pPr>
            <w:pStyle w:val="a9"/>
            <w:rPr>
              <w:b/>
              <w:bCs/>
            </w:rPr>
          </w:pPr>
        </w:p>
      </w:tc>
    </w:tr>
  </w:tbl>
  <w:p w:rsidR="0097788A" w:rsidRDefault="0097788A">
    <w:pPr>
      <w:pStyle w:val="a9"/>
      <w:jc w:val="right"/>
      <w:rPr>
        <w:rStyle w:val="aff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7">
    <w:nsid w:val="12783B7E"/>
    <w:multiLevelType w:val="multilevel"/>
    <w:tmpl w:val="2D043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2">
    <w:nsid w:val="1C8D7B3B"/>
    <w:multiLevelType w:val="multilevel"/>
    <w:tmpl w:val="D1AC4D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6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>
    <w:nsid w:val="31803EEE"/>
    <w:multiLevelType w:val="multilevel"/>
    <w:tmpl w:val="CBEC9A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CA371FC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1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8673C1"/>
    <w:multiLevelType w:val="multilevel"/>
    <w:tmpl w:val="F4CCC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346C32"/>
    <w:multiLevelType w:val="multilevel"/>
    <w:tmpl w:val="34062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9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2">
    <w:nsid w:val="6BE165B4"/>
    <w:multiLevelType w:val="multilevel"/>
    <w:tmpl w:val="295AE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4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73AE1A3D"/>
    <w:multiLevelType w:val="multilevel"/>
    <w:tmpl w:val="97CE2E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3"/>
  </w:num>
  <w:num w:numId="2">
    <w:abstractNumId w:val="36"/>
  </w:num>
  <w:num w:numId="3">
    <w:abstractNumId w:val="31"/>
  </w:num>
  <w:num w:numId="4">
    <w:abstractNumId w:val="15"/>
  </w:num>
  <w:num w:numId="5">
    <w:abstractNumId w:val="40"/>
  </w:num>
  <w:num w:numId="6">
    <w:abstractNumId w:val="26"/>
  </w:num>
  <w:num w:numId="7">
    <w:abstractNumId w:val="19"/>
  </w:num>
  <w:num w:numId="8">
    <w:abstractNumId w:val="8"/>
  </w:num>
  <w:num w:numId="9">
    <w:abstractNumId w:val="14"/>
  </w:num>
  <w:num w:numId="10">
    <w:abstractNumId w:val="25"/>
  </w:num>
  <w:num w:numId="11">
    <w:abstractNumId w:val="2"/>
  </w:num>
  <w:num w:numId="12">
    <w:abstractNumId w:val="1"/>
  </w:num>
  <w:num w:numId="13">
    <w:abstractNumId w:val="16"/>
  </w:num>
  <w:num w:numId="14">
    <w:abstractNumId w:val="37"/>
  </w:num>
  <w:num w:numId="15">
    <w:abstractNumId w:val="30"/>
  </w:num>
  <w:num w:numId="16">
    <w:abstractNumId w:val="13"/>
  </w:num>
  <w:num w:numId="17">
    <w:abstractNumId w:val="6"/>
  </w:num>
  <w:num w:numId="18">
    <w:abstractNumId w:val="39"/>
  </w:num>
  <w:num w:numId="19">
    <w:abstractNumId w:val="10"/>
  </w:num>
  <w:num w:numId="20">
    <w:abstractNumId w:val="21"/>
  </w:num>
  <w:num w:numId="21">
    <w:abstractNumId w:val="9"/>
  </w:num>
  <w:num w:numId="22">
    <w:abstractNumId w:val="5"/>
  </w:num>
  <w:num w:numId="23">
    <w:abstractNumId w:val="27"/>
  </w:num>
  <w:num w:numId="24">
    <w:abstractNumId w:val="34"/>
  </w:num>
  <w:num w:numId="25">
    <w:abstractNumId w:val="29"/>
  </w:num>
  <w:num w:numId="26">
    <w:abstractNumId w:val="0"/>
  </w:num>
  <w:num w:numId="27">
    <w:abstractNumId w:val="38"/>
  </w:num>
  <w:num w:numId="28">
    <w:abstractNumId w:val="23"/>
  </w:num>
  <w:num w:numId="29">
    <w:abstractNumId w:val="18"/>
  </w:num>
  <w:num w:numId="30">
    <w:abstractNumId w:val="20"/>
  </w:num>
  <w:num w:numId="31">
    <w:abstractNumId w:val="7"/>
  </w:num>
  <w:num w:numId="32">
    <w:abstractNumId w:val="12"/>
  </w:num>
  <w:num w:numId="33">
    <w:abstractNumId w:val="24"/>
  </w:num>
  <w:num w:numId="34">
    <w:abstractNumId w:val="17"/>
  </w:num>
  <w:num w:numId="35">
    <w:abstractNumId w:val="28"/>
  </w:num>
  <w:num w:numId="36">
    <w:abstractNumId w:val="32"/>
  </w:num>
  <w:num w:numId="37">
    <w:abstractNumId w:val="35"/>
  </w:num>
  <w:num w:numId="38">
    <w:abstractNumId w:val="11"/>
  </w:num>
  <w:num w:numId="3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4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19B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AD4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link w:val="aff6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7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8">
    <w:name w:val="Strong"/>
    <w:uiPriority w:val="22"/>
    <w:qFormat/>
    <w:locked/>
    <w:rsid w:val="00DC6651"/>
    <w:rPr>
      <w:b/>
      <w:bCs/>
    </w:rPr>
  </w:style>
  <w:style w:type="paragraph" w:styleId="aff9">
    <w:name w:val="List Paragraph"/>
    <w:aliases w:val="Булит 1"/>
    <w:basedOn w:val="a5"/>
    <w:link w:val="affa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b">
    <w:name w:val="Пункт Знак"/>
    <w:rsid w:val="00E36140"/>
    <w:rPr>
      <w:sz w:val="28"/>
      <w:lang w:val="ru-RU" w:eastAsia="ru-RU" w:bidi="ar-SA"/>
    </w:rPr>
  </w:style>
  <w:style w:type="character" w:customStyle="1" w:styleId="affc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d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e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">
    <w:name w:val="endnote text"/>
    <w:basedOn w:val="a5"/>
    <w:link w:val="afff0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0">
    <w:name w:val="Текст концевой сноски Знак"/>
    <w:link w:val="afff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1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2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3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6">
    <w:name w:val="Подподпункт Знак"/>
    <w:link w:val="aff5"/>
    <w:locked/>
    <w:rsid w:val="00A1508E"/>
    <w:rPr>
      <w:rFonts w:ascii="Times New Roman" w:hAnsi="Times New Roman"/>
      <w:sz w:val="28"/>
    </w:rPr>
  </w:style>
  <w:style w:type="character" w:customStyle="1" w:styleId="affa">
    <w:name w:val="Абзац списка Знак"/>
    <w:aliases w:val="Булит 1 Знак"/>
    <w:link w:val="aff9"/>
    <w:uiPriority w:val="34"/>
    <w:rsid w:val="0016026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link w:val="aff6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7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8">
    <w:name w:val="Strong"/>
    <w:uiPriority w:val="22"/>
    <w:qFormat/>
    <w:locked/>
    <w:rsid w:val="00DC6651"/>
    <w:rPr>
      <w:b/>
      <w:bCs/>
    </w:rPr>
  </w:style>
  <w:style w:type="paragraph" w:styleId="aff9">
    <w:name w:val="List Paragraph"/>
    <w:aliases w:val="Булит 1"/>
    <w:basedOn w:val="a5"/>
    <w:link w:val="affa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9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b">
    <w:name w:val="Пункт Знак"/>
    <w:rsid w:val="00E36140"/>
    <w:rPr>
      <w:sz w:val="28"/>
      <w:lang w:val="ru-RU" w:eastAsia="ru-RU" w:bidi="ar-SA"/>
    </w:rPr>
  </w:style>
  <w:style w:type="character" w:customStyle="1" w:styleId="affc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d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e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">
    <w:name w:val="endnote text"/>
    <w:basedOn w:val="a5"/>
    <w:link w:val="afff0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0">
    <w:name w:val="Текст концевой сноски Знак"/>
    <w:link w:val="afff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1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2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3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3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6">
    <w:name w:val="Подподпункт Знак"/>
    <w:link w:val="aff5"/>
    <w:locked/>
    <w:rsid w:val="00A1508E"/>
    <w:rPr>
      <w:rFonts w:ascii="Times New Roman" w:hAnsi="Times New Roman"/>
      <w:sz w:val="28"/>
    </w:rPr>
  </w:style>
  <w:style w:type="character" w:customStyle="1" w:styleId="affa">
    <w:name w:val="Абзац списка Знак"/>
    <w:aliases w:val="Булит 1 Знак"/>
    <w:link w:val="aff9"/>
    <w:uiPriority w:val="34"/>
    <w:rsid w:val="001602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package" Target="embeddings/_________Microsoft_Word1.docx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image" Target="media/image3.emf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oleObject" Target="embeddings/_____Microsoft_Excel_97-20031.xls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E5781-8045-4B9A-BA38-E5D4BE07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6981</Words>
  <Characters>51235</Characters>
  <Application>Microsoft Office Word</Application>
  <DocSecurity>0</DocSecurity>
  <Lines>426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58100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9</cp:revision>
  <cp:lastPrinted>2016-08-15T09:03:00Z</cp:lastPrinted>
  <dcterms:created xsi:type="dcterms:W3CDTF">2016-08-12T13:19:00Z</dcterms:created>
  <dcterms:modified xsi:type="dcterms:W3CDTF">2016-08-15T09:04:00Z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